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6C" w:rsidRDefault="008102DA" w:rsidP="0001566C">
      <w:pPr>
        <w:jc w:val="center"/>
        <w:rPr>
          <w:b/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Хабарландыру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медицинаға тағайындалған өнімдерді </w:t>
      </w:r>
      <w:r w:rsidR="00282CBA">
        <w:rPr>
          <w:sz w:val="28"/>
          <w:szCs w:val="28"/>
          <w:lang w:val="kk-KZ"/>
        </w:rPr>
        <w:t>(реагенттер жиынтығы</w:t>
      </w:r>
      <w:r w:rsidR="00FC1C59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) </w:t>
      </w:r>
      <w:r w:rsidR="00ED63E0">
        <w:rPr>
          <w:sz w:val="28"/>
          <w:szCs w:val="28"/>
          <w:lang w:val="kk-KZ"/>
        </w:rPr>
        <w:t>1Лот -</w:t>
      </w:r>
      <w:r w:rsidR="00D66895">
        <w:rPr>
          <w:sz w:val="28"/>
          <w:szCs w:val="28"/>
          <w:lang w:val="kk-KZ"/>
        </w:rPr>
        <w:t xml:space="preserve">ИХЛА әдісімен донорлық қан үлгілерінде  </w:t>
      </w:r>
      <w:r w:rsidR="0076299E">
        <w:rPr>
          <w:sz w:val="28"/>
          <w:szCs w:val="28"/>
          <w:lang w:val="kk-KZ"/>
        </w:rPr>
        <w:t xml:space="preserve">В </w:t>
      </w:r>
      <w:r w:rsidR="00D66895">
        <w:rPr>
          <w:sz w:val="28"/>
          <w:szCs w:val="28"/>
          <w:lang w:val="kk-KZ"/>
        </w:rPr>
        <w:t xml:space="preserve">вирустық гепатит </w:t>
      </w:r>
      <w:r w:rsidR="00D66895" w:rsidRPr="00D66895">
        <w:rPr>
          <w:sz w:val="28"/>
          <w:szCs w:val="28"/>
          <w:lang w:val="kk-KZ"/>
        </w:rPr>
        <w:t>(HB</w:t>
      </w:r>
      <w:r w:rsidR="00D66895">
        <w:rPr>
          <w:sz w:val="28"/>
          <w:szCs w:val="28"/>
          <w:lang w:val="kk-KZ"/>
        </w:rPr>
        <w:t>ѕ</w:t>
      </w:r>
      <w:r w:rsidR="00D66895" w:rsidRPr="00D66895">
        <w:rPr>
          <w:sz w:val="28"/>
          <w:szCs w:val="28"/>
          <w:lang w:val="kk-KZ"/>
        </w:rPr>
        <w:t xml:space="preserve">Ag) </w:t>
      </w:r>
      <w:r w:rsidR="00EB19FB">
        <w:rPr>
          <w:sz w:val="28"/>
          <w:szCs w:val="28"/>
          <w:lang w:val="kk-KZ"/>
        </w:rPr>
        <w:t xml:space="preserve">а/г </w:t>
      </w:r>
      <w:r w:rsidR="00FB1C48">
        <w:rPr>
          <w:sz w:val="28"/>
          <w:szCs w:val="28"/>
          <w:lang w:val="kk-KZ"/>
        </w:rPr>
        <w:t>үстіңгісін анықтағышты</w:t>
      </w:r>
      <w:r w:rsidR="00D66895">
        <w:rPr>
          <w:sz w:val="28"/>
          <w:szCs w:val="28"/>
          <w:lang w:val="kk-KZ"/>
        </w:rPr>
        <w:t xml:space="preserve">, </w:t>
      </w:r>
      <w:r w:rsidR="00ED63E0">
        <w:rPr>
          <w:sz w:val="28"/>
          <w:szCs w:val="28"/>
          <w:lang w:val="kk-KZ"/>
        </w:rPr>
        <w:t>2 Лот-</w:t>
      </w:r>
      <w:r w:rsidR="00D66895">
        <w:rPr>
          <w:sz w:val="28"/>
          <w:szCs w:val="28"/>
          <w:lang w:val="kk-KZ"/>
        </w:rPr>
        <w:t xml:space="preserve">ИХЛА әдісімен донорлық қан үлгілерінде  </w:t>
      </w:r>
      <w:r w:rsidR="0076299E">
        <w:rPr>
          <w:sz w:val="28"/>
          <w:szCs w:val="28"/>
          <w:lang w:val="kk-KZ"/>
        </w:rPr>
        <w:t xml:space="preserve">С </w:t>
      </w:r>
      <w:r w:rsidR="00D66895">
        <w:rPr>
          <w:sz w:val="28"/>
          <w:szCs w:val="28"/>
          <w:lang w:val="kk-KZ"/>
        </w:rPr>
        <w:t>вирустық гепатит</w:t>
      </w:r>
      <w:r w:rsidR="0076299E">
        <w:rPr>
          <w:sz w:val="28"/>
          <w:szCs w:val="28"/>
          <w:lang w:val="kk-KZ"/>
        </w:rPr>
        <w:t>іне</w:t>
      </w:r>
      <w:r w:rsidR="00D66895">
        <w:rPr>
          <w:sz w:val="28"/>
          <w:szCs w:val="28"/>
          <w:lang w:val="kk-KZ"/>
        </w:rPr>
        <w:t xml:space="preserve"> </w:t>
      </w:r>
      <w:r w:rsidR="0076299E">
        <w:rPr>
          <w:sz w:val="28"/>
          <w:szCs w:val="28"/>
          <w:lang w:val="kk-KZ"/>
        </w:rPr>
        <w:t xml:space="preserve">антиденені </w:t>
      </w:r>
      <w:r w:rsidR="00FB1C48">
        <w:rPr>
          <w:sz w:val="28"/>
          <w:szCs w:val="28"/>
          <w:lang w:val="kk-KZ"/>
        </w:rPr>
        <w:t>анықтағышты</w:t>
      </w:r>
      <w:r w:rsidR="0076299E">
        <w:rPr>
          <w:sz w:val="28"/>
          <w:szCs w:val="28"/>
          <w:lang w:val="kk-KZ"/>
        </w:rPr>
        <w:t>,</w:t>
      </w:r>
      <w:r w:rsidR="00ED63E0">
        <w:rPr>
          <w:sz w:val="28"/>
          <w:szCs w:val="28"/>
          <w:lang w:val="kk-KZ"/>
        </w:rPr>
        <w:t xml:space="preserve"> 3Лот -</w:t>
      </w:r>
      <w:r w:rsidR="0076299E">
        <w:rPr>
          <w:sz w:val="28"/>
          <w:szCs w:val="28"/>
          <w:lang w:val="kk-KZ"/>
        </w:rPr>
        <w:t xml:space="preserve"> ИХЛА әдісімен донорлық қан үлгілерінде  АҚТҚ-қа  антиденені және </w:t>
      </w:r>
      <w:r w:rsidR="00CA63A1">
        <w:rPr>
          <w:sz w:val="28"/>
          <w:szCs w:val="28"/>
          <w:lang w:val="kk-KZ"/>
        </w:rPr>
        <w:t xml:space="preserve">p24 </w:t>
      </w:r>
      <w:r w:rsidR="0076299E">
        <w:rPr>
          <w:sz w:val="28"/>
          <w:szCs w:val="28"/>
          <w:lang w:val="kk-KZ"/>
        </w:rPr>
        <w:t xml:space="preserve">антигенді </w:t>
      </w:r>
      <w:r w:rsidR="00FB1C48">
        <w:rPr>
          <w:sz w:val="28"/>
          <w:szCs w:val="28"/>
          <w:lang w:val="kk-KZ"/>
        </w:rPr>
        <w:t>анықтағышты</w:t>
      </w:r>
      <w:r w:rsidR="0076299E">
        <w:rPr>
          <w:sz w:val="28"/>
          <w:szCs w:val="28"/>
          <w:lang w:val="kk-KZ"/>
        </w:rPr>
        <w:t xml:space="preserve">, </w:t>
      </w:r>
      <w:r w:rsidR="00ED63E0">
        <w:rPr>
          <w:sz w:val="28"/>
          <w:szCs w:val="28"/>
          <w:lang w:val="kk-KZ"/>
        </w:rPr>
        <w:t>4 Лот-</w:t>
      </w:r>
      <w:r w:rsidR="00CA63A1">
        <w:rPr>
          <w:sz w:val="28"/>
          <w:szCs w:val="28"/>
          <w:lang w:val="kk-KZ"/>
        </w:rPr>
        <w:t xml:space="preserve">ИХЛА әдісімен донорлық қан үлгілерінде </w:t>
      </w:r>
      <w:r w:rsidR="00CA63A1" w:rsidRPr="00CA63A1">
        <w:rPr>
          <w:sz w:val="28"/>
          <w:szCs w:val="28"/>
          <w:lang w:val="kk-KZ"/>
        </w:rPr>
        <w:t xml:space="preserve">Treponema pallidum </w:t>
      </w:r>
      <w:r w:rsidR="00CA63A1">
        <w:rPr>
          <w:sz w:val="28"/>
          <w:szCs w:val="28"/>
          <w:lang w:val="kk-KZ"/>
        </w:rPr>
        <w:t xml:space="preserve">антиденені </w:t>
      </w:r>
      <w:r w:rsidR="00FB1C48">
        <w:rPr>
          <w:sz w:val="28"/>
          <w:szCs w:val="28"/>
          <w:lang w:val="kk-KZ"/>
        </w:rPr>
        <w:t>анықтағышты,</w:t>
      </w:r>
      <w:r w:rsidR="00CA63A1">
        <w:rPr>
          <w:sz w:val="28"/>
          <w:szCs w:val="28"/>
          <w:lang w:val="kk-KZ"/>
        </w:rPr>
        <w:t xml:space="preserve"> </w:t>
      </w:r>
      <w:r w:rsidR="00ED63E0">
        <w:rPr>
          <w:sz w:val="28"/>
          <w:szCs w:val="28"/>
          <w:lang w:val="kk-KZ"/>
        </w:rPr>
        <w:t>5Лот-</w:t>
      </w:r>
      <w:r w:rsidR="00EB19FB">
        <w:rPr>
          <w:sz w:val="28"/>
          <w:szCs w:val="28"/>
          <w:lang w:val="kk-KZ"/>
        </w:rPr>
        <w:t xml:space="preserve">РНК АҚТҚ-1, АҚТҚ-2, РНК ВГС және ДНК ВГВ </w:t>
      </w:r>
      <w:r w:rsidR="0031398F">
        <w:rPr>
          <w:sz w:val="28"/>
          <w:szCs w:val="28"/>
          <w:lang w:val="kk-KZ"/>
        </w:rPr>
        <w:t xml:space="preserve">донорлық қанды іріктеп алу үшін реагентті кассеталарды  </w:t>
      </w:r>
      <w:r>
        <w:rPr>
          <w:sz w:val="28"/>
          <w:szCs w:val="28"/>
          <w:lang w:val="kk-KZ"/>
        </w:rPr>
        <w:t xml:space="preserve">сатып алу бойынша тендер өткізетіні туралы хабарлайды. 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>ілімді талап ететін мерзім: 201</w:t>
      </w:r>
      <w:r w:rsidR="0047403B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жыл</w:t>
      </w:r>
      <w:r w:rsidR="002B5F77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47403B">
        <w:rPr>
          <w:sz w:val="28"/>
          <w:szCs w:val="28"/>
          <w:lang w:val="kk-KZ"/>
        </w:rPr>
        <w:t xml:space="preserve">ақпан </w:t>
      </w:r>
      <w:r w:rsidR="004826A3">
        <w:rPr>
          <w:sz w:val="28"/>
          <w:szCs w:val="28"/>
          <w:lang w:val="kk-KZ"/>
        </w:rPr>
        <w:t xml:space="preserve">- </w:t>
      </w:r>
      <w:r w:rsidR="0047403B">
        <w:rPr>
          <w:sz w:val="28"/>
          <w:szCs w:val="28"/>
          <w:lang w:val="kk-KZ"/>
        </w:rPr>
        <w:t>желтоқсан</w:t>
      </w:r>
      <w:r>
        <w:rPr>
          <w:sz w:val="28"/>
          <w:szCs w:val="28"/>
          <w:lang w:val="kk-KZ"/>
        </w:rPr>
        <w:t>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«</w:t>
      </w:r>
      <w:r w:rsidR="0080664A">
        <w:rPr>
          <w:rStyle w:val="s0"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>
        <w:rPr>
          <w:rStyle w:val="s0"/>
          <w:bCs/>
          <w:sz w:val="28"/>
          <w:szCs w:val="28"/>
          <w:lang w:val="kk-KZ"/>
        </w:rPr>
        <w:t xml:space="preserve">                    </w:t>
      </w:r>
      <w:r w:rsidR="0080664A">
        <w:rPr>
          <w:rStyle w:val="s0"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>
        <w:rPr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403B">
        <w:rPr>
          <w:bCs/>
          <w:sz w:val="28"/>
          <w:szCs w:val="28"/>
          <w:lang w:val="kk-KZ"/>
        </w:rPr>
        <w:t>5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31398F">
        <w:rPr>
          <w:bCs/>
          <w:sz w:val="28"/>
          <w:szCs w:val="28"/>
          <w:lang w:val="kk-KZ"/>
        </w:rPr>
        <w:t>«17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01566C">
        <w:rPr>
          <w:bCs/>
          <w:sz w:val="28"/>
          <w:szCs w:val="28"/>
          <w:lang w:val="kk-KZ"/>
        </w:rPr>
        <w:t xml:space="preserve"> сағат 1</w:t>
      </w:r>
      <w:r w:rsidR="00936DDC">
        <w:rPr>
          <w:bCs/>
          <w:sz w:val="28"/>
          <w:szCs w:val="28"/>
          <w:lang w:val="kk-KZ"/>
        </w:rPr>
        <w:t>0</w:t>
      </w:r>
      <w:r w:rsidR="0001566C">
        <w:rPr>
          <w:bCs/>
          <w:sz w:val="28"/>
          <w:szCs w:val="28"/>
          <w:lang w:val="kk-KZ"/>
        </w:rPr>
        <w:t xml:space="preserve">.00-ге дейін 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</w:t>
      </w:r>
      <w:r w:rsidR="002B5F77">
        <w:rPr>
          <w:bCs/>
          <w:sz w:val="28"/>
          <w:szCs w:val="28"/>
          <w:lang w:val="kk-KZ"/>
        </w:rPr>
        <w:t xml:space="preserve">                   </w:t>
      </w:r>
      <w:r w:rsidR="0001566C">
        <w:rPr>
          <w:bCs/>
          <w:sz w:val="28"/>
          <w:szCs w:val="28"/>
          <w:lang w:val="kk-KZ"/>
        </w:rPr>
        <w:t xml:space="preserve">көшесі 56, № 507 кабинеттен сағат 8.00-ден 17.00-ге дейін немесе электрондық пошта бойынша </w:t>
      </w:r>
      <w:r w:rsidR="00F33F63">
        <w:fldChar w:fldCharType="begin"/>
      </w:r>
      <w:r w:rsidR="00F33F63" w:rsidRPr="005E6319">
        <w:rPr>
          <w:lang w:val="kk-KZ"/>
        </w:rPr>
        <w:instrText>HYPERLINK "mailto:centr-blood@mail.ru"</w:instrText>
      </w:r>
      <w:r w:rsidR="00F33F63">
        <w:fldChar w:fldCharType="separate"/>
      </w:r>
      <w:r w:rsidR="0001566C">
        <w:rPr>
          <w:rStyle w:val="aa"/>
          <w:bCs/>
          <w:sz w:val="28"/>
          <w:szCs w:val="28"/>
          <w:lang w:val="kk-KZ"/>
        </w:rPr>
        <w:t>centr-blood@mail.ru</w:t>
      </w:r>
      <w:r w:rsidR="00F33F63">
        <w:fldChar w:fldCharType="end"/>
      </w:r>
      <w:r w:rsidR="0001566C">
        <w:rPr>
          <w:bCs/>
          <w:sz w:val="28"/>
          <w:szCs w:val="28"/>
          <w:lang w:val="kk-KZ"/>
        </w:rPr>
        <w:t xml:space="preserve">. 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31398F">
        <w:rPr>
          <w:bCs/>
          <w:sz w:val="28"/>
          <w:szCs w:val="28"/>
          <w:lang w:val="kk-KZ"/>
        </w:rPr>
        <w:t>німді берудің соңғы мерзімі 2015</w:t>
      </w:r>
      <w:r>
        <w:rPr>
          <w:bCs/>
          <w:sz w:val="28"/>
          <w:szCs w:val="28"/>
          <w:lang w:val="kk-KZ"/>
        </w:rPr>
        <w:t xml:space="preserve"> жылдың </w:t>
      </w:r>
      <w:r w:rsidR="0031398F">
        <w:rPr>
          <w:bCs/>
          <w:sz w:val="28"/>
          <w:szCs w:val="28"/>
          <w:lang w:val="kk-KZ"/>
        </w:rPr>
        <w:t>18</w:t>
      </w:r>
      <w:r w:rsidR="00BB377D">
        <w:rPr>
          <w:bCs/>
          <w:sz w:val="28"/>
          <w:szCs w:val="28"/>
          <w:lang w:val="kk-KZ"/>
        </w:rPr>
        <w:t xml:space="preserve"> </w:t>
      </w:r>
      <w:r w:rsidR="0031398F">
        <w:rPr>
          <w:bCs/>
          <w:sz w:val="28"/>
          <w:szCs w:val="28"/>
          <w:lang w:val="kk-KZ"/>
        </w:rPr>
        <w:t>ақпан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403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31398F">
        <w:rPr>
          <w:bCs/>
          <w:sz w:val="28"/>
          <w:szCs w:val="28"/>
          <w:lang w:val="kk-KZ"/>
        </w:rPr>
        <w:t>10</w:t>
      </w:r>
      <w:r w:rsidR="002B5F77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5E6319" w:rsidRDefault="005E6319" w:rsidP="0001566C">
      <w:pPr>
        <w:rPr>
          <w:bCs/>
          <w:color w:val="000000"/>
          <w:sz w:val="28"/>
          <w:szCs w:val="28"/>
          <w:lang w:val="kk-KZ"/>
        </w:rPr>
      </w:pPr>
    </w:p>
    <w:p w:rsidR="005E6319" w:rsidRDefault="005E6319" w:rsidP="005E6319">
      <w:pPr>
        <w:pStyle w:val="a4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ОБЪЯВЛЕНИЕ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Коммунальное государственное предприятие на праве хозяйственного ведения «Областной центр крови» акимата Северо-Казахстанской области Управления здравоохранения Северо-Казахстанской области ул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еатральная 56, объявляет о проведении тендера по закупу изделий медицинского назначения (набор реагентов): Лот №1 -Определение поверхностного а/г вирусного гепатита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HBsAg</w:t>
      </w:r>
      <w:proofErr w:type="spellEnd"/>
      <w:r>
        <w:rPr>
          <w:sz w:val="28"/>
          <w:szCs w:val="28"/>
        </w:rPr>
        <w:t xml:space="preserve">) в образцах донорской крови методом ИХЛА, Лот №2-Определение  антител к вирусу гепатита С </w:t>
      </w:r>
      <w:r>
        <w:rPr>
          <w:sz w:val="28"/>
          <w:szCs w:val="28"/>
        </w:rPr>
        <w:lastRenderedPageBreak/>
        <w:t xml:space="preserve">в образцах донорской крови методом ИХЛА, Лот №3-Определение антигена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24 и антител к ВИЧ в образцах  донорской крови методом ИХЛА, Лот №4-Определение антител к </w:t>
      </w:r>
      <w:proofErr w:type="spellStart"/>
      <w:r>
        <w:rPr>
          <w:sz w:val="28"/>
          <w:szCs w:val="28"/>
          <w:lang w:val="en-US"/>
        </w:rPr>
        <w:t>Treponema</w:t>
      </w:r>
      <w:proofErr w:type="spellEnd"/>
      <w:r w:rsidRPr="005E63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pallidum</w:t>
      </w:r>
      <w:proofErr w:type="spellEnd"/>
      <w:r w:rsidRPr="005E6319">
        <w:rPr>
          <w:sz w:val="28"/>
          <w:szCs w:val="28"/>
        </w:rPr>
        <w:t xml:space="preserve"> </w:t>
      </w:r>
      <w:r>
        <w:rPr>
          <w:sz w:val="28"/>
          <w:szCs w:val="28"/>
        </w:rPr>
        <w:t>в донорской крови методом ИХЛА, Лот №5-Реагентные кассеты для скрининга донорской крови на РНК ВИЧ-1, ВИЧ-2, РНК ВГС и ДНК ВГВ.</w:t>
      </w:r>
    </w:p>
    <w:p w:rsidR="005E6319" w:rsidRDefault="005E6319" w:rsidP="005E6319">
      <w:pPr>
        <w:pStyle w:val="a4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Товар должен быть доставлен: Республика Казахстан, СКО, г. Петропавловск, ул. Театральная,56.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Требуемый срок поставки март- декабрь 2015 года.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hyperlink r:id="rId6" w:anchor="sub800" w:history="1">
        <w:proofErr w:type="spellStart"/>
        <w:r>
          <w:rPr>
            <w:rStyle w:val="aa"/>
            <w:sz w:val="28"/>
            <w:szCs w:val="28"/>
          </w:rPr>
          <w:t>пп</w:t>
        </w:r>
        <w:proofErr w:type="spellEnd"/>
        <w:r>
          <w:rPr>
            <w:rStyle w:val="aa"/>
            <w:sz w:val="28"/>
            <w:szCs w:val="28"/>
          </w:rPr>
          <w:t>. 8-9</w:t>
        </w:r>
      </w:hyperlink>
      <w:r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«30» октября 2009 года №1729.</w:t>
      </w:r>
      <w:proofErr w:type="gramEnd"/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тендерной документации можно получить в срок до 10 часов 00 минут «17» февраля 2015 года включительно по адресу: СКО, г. Петропавловск, ул. </w:t>
      </w: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 xml:space="preserve">,56,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№ 507, время с 8-00 до 17-00 часов или по электронной почте по адресу </w:t>
      </w:r>
      <w:proofErr w:type="spellStart"/>
      <w:r>
        <w:rPr>
          <w:sz w:val="28"/>
          <w:szCs w:val="28"/>
          <w:lang w:val="en-US"/>
        </w:rPr>
        <w:t>centr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blood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 срок представления тендерных заявок до 10 часов 00 минут  18 февраля 2015 года.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Конверты с тендерными заявками будут вскрываться в 11 часов 00 минут 18 февраля 2015 года по следующему адресу: СКО, г. Петропавловск, ул. </w:t>
      </w: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>,56, Областной центр крови, актовый зал.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Дополнительную информацию и справку можно получить по телефону: 8 (7152) 50-03-64.</w:t>
      </w:r>
    </w:p>
    <w:p w:rsidR="005E6319" w:rsidRDefault="005E6319" w:rsidP="005E6319">
      <w:pPr>
        <w:pStyle w:val="a4"/>
        <w:jc w:val="both"/>
        <w:rPr>
          <w:sz w:val="28"/>
          <w:szCs w:val="28"/>
        </w:rPr>
      </w:pPr>
    </w:p>
    <w:p w:rsidR="0001566C" w:rsidRPr="005E6319" w:rsidRDefault="0001566C" w:rsidP="0001566C">
      <w:pPr>
        <w:rPr>
          <w:bCs/>
          <w:color w:val="000000"/>
          <w:sz w:val="28"/>
          <w:szCs w:val="28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117A2"/>
    <w:rsid w:val="00134381"/>
    <w:rsid w:val="00172D2F"/>
    <w:rsid w:val="00173C67"/>
    <w:rsid w:val="001769C1"/>
    <w:rsid w:val="00184565"/>
    <w:rsid w:val="001921F6"/>
    <w:rsid w:val="00193B13"/>
    <w:rsid w:val="001B7CDE"/>
    <w:rsid w:val="001D78B8"/>
    <w:rsid w:val="001E12A8"/>
    <w:rsid w:val="001E399A"/>
    <w:rsid w:val="001E4413"/>
    <w:rsid w:val="001F6388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3016"/>
    <w:rsid w:val="002A4F3A"/>
    <w:rsid w:val="002B1F88"/>
    <w:rsid w:val="002B5F77"/>
    <w:rsid w:val="002C77C8"/>
    <w:rsid w:val="002F4B74"/>
    <w:rsid w:val="0030599C"/>
    <w:rsid w:val="0031398F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64592"/>
    <w:rsid w:val="005710DE"/>
    <w:rsid w:val="00582182"/>
    <w:rsid w:val="005847F9"/>
    <w:rsid w:val="00586D5E"/>
    <w:rsid w:val="005B7863"/>
    <w:rsid w:val="005C7785"/>
    <w:rsid w:val="005E317C"/>
    <w:rsid w:val="005E61DD"/>
    <w:rsid w:val="005E6319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299E"/>
    <w:rsid w:val="00774A19"/>
    <w:rsid w:val="0077577D"/>
    <w:rsid w:val="00775C41"/>
    <w:rsid w:val="0078763E"/>
    <w:rsid w:val="00791695"/>
    <w:rsid w:val="007A4B70"/>
    <w:rsid w:val="007F0223"/>
    <w:rsid w:val="00800C11"/>
    <w:rsid w:val="0080664A"/>
    <w:rsid w:val="008102D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124C3"/>
    <w:rsid w:val="00933FC7"/>
    <w:rsid w:val="00936DDC"/>
    <w:rsid w:val="00955840"/>
    <w:rsid w:val="009618AB"/>
    <w:rsid w:val="009639B1"/>
    <w:rsid w:val="00990278"/>
    <w:rsid w:val="009A7EE7"/>
    <w:rsid w:val="009F0148"/>
    <w:rsid w:val="00A15E80"/>
    <w:rsid w:val="00A22785"/>
    <w:rsid w:val="00A56091"/>
    <w:rsid w:val="00A75027"/>
    <w:rsid w:val="00A91F97"/>
    <w:rsid w:val="00AA4649"/>
    <w:rsid w:val="00AB6DB0"/>
    <w:rsid w:val="00AC30C7"/>
    <w:rsid w:val="00AD1C0E"/>
    <w:rsid w:val="00AD4936"/>
    <w:rsid w:val="00AE5BAB"/>
    <w:rsid w:val="00B241C5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52737"/>
    <w:rsid w:val="00C560D5"/>
    <w:rsid w:val="00C571E7"/>
    <w:rsid w:val="00C66284"/>
    <w:rsid w:val="00C673C8"/>
    <w:rsid w:val="00C70229"/>
    <w:rsid w:val="00C84651"/>
    <w:rsid w:val="00CA63A1"/>
    <w:rsid w:val="00CA72DB"/>
    <w:rsid w:val="00CB3759"/>
    <w:rsid w:val="00CC1A41"/>
    <w:rsid w:val="00CC6F7C"/>
    <w:rsid w:val="00CD7818"/>
    <w:rsid w:val="00CE0FB2"/>
    <w:rsid w:val="00CE1C1F"/>
    <w:rsid w:val="00CF1613"/>
    <w:rsid w:val="00D03CE4"/>
    <w:rsid w:val="00D05100"/>
    <w:rsid w:val="00D07031"/>
    <w:rsid w:val="00D32AD5"/>
    <w:rsid w:val="00D40B1B"/>
    <w:rsid w:val="00D45C55"/>
    <w:rsid w:val="00D46F7A"/>
    <w:rsid w:val="00D5395C"/>
    <w:rsid w:val="00D66895"/>
    <w:rsid w:val="00D812A1"/>
    <w:rsid w:val="00DA0E9D"/>
    <w:rsid w:val="00DA4F28"/>
    <w:rsid w:val="00DA6BA7"/>
    <w:rsid w:val="00DC3A5E"/>
    <w:rsid w:val="00DC60AF"/>
    <w:rsid w:val="00DD6EC6"/>
    <w:rsid w:val="00DE17D8"/>
    <w:rsid w:val="00DE229D"/>
    <w:rsid w:val="00E056A0"/>
    <w:rsid w:val="00E3206C"/>
    <w:rsid w:val="00E5394C"/>
    <w:rsid w:val="00E61EB6"/>
    <w:rsid w:val="00E826B6"/>
    <w:rsid w:val="00E92701"/>
    <w:rsid w:val="00E927A4"/>
    <w:rsid w:val="00E94754"/>
    <w:rsid w:val="00E96F74"/>
    <w:rsid w:val="00EB19FB"/>
    <w:rsid w:val="00EB434D"/>
    <w:rsid w:val="00EB66CA"/>
    <w:rsid w:val="00ED13BD"/>
    <w:rsid w:val="00ED63E0"/>
    <w:rsid w:val="00ED6CD5"/>
    <w:rsid w:val="00EE06F5"/>
    <w:rsid w:val="00EF2D1B"/>
    <w:rsid w:val="00EF7E80"/>
    <w:rsid w:val="00F33F63"/>
    <w:rsid w:val="00F36EC2"/>
    <w:rsid w:val="00F47886"/>
    <w:rsid w:val="00F52457"/>
    <w:rsid w:val="00F551B5"/>
    <w:rsid w:val="00F653D9"/>
    <w:rsid w:val="00FA7A28"/>
    <w:rsid w:val="00FB1C4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2015\&#1058;&#1077;&#1085;&#1076;&#1077;&#1088;%202015&#1087;&#1080;&#1089;&#1100;&#1084;&#1086;%20-%20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556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Мичюдас</cp:lastModifiedBy>
  <cp:revision>31</cp:revision>
  <cp:lastPrinted>2015-01-29T09:04:00Z</cp:lastPrinted>
  <dcterms:created xsi:type="dcterms:W3CDTF">2010-12-27T09:47:00Z</dcterms:created>
  <dcterms:modified xsi:type="dcterms:W3CDTF">2015-01-29T10:04:00Z</dcterms:modified>
</cp:coreProperties>
</file>