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F25" w:rsidRPr="009B23B7" w:rsidRDefault="001F0AE7" w:rsidP="001F0AE7">
      <w:pPr>
        <w:jc w:val="center"/>
        <w:rPr>
          <w:rFonts w:ascii="Segoe UI" w:hAnsi="Segoe UI" w:cs="Segoe UI"/>
          <w:b/>
          <w:color w:val="000000" w:themeColor="text1"/>
          <w:sz w:val="22"/>
          <w:szCs w:val="22"/>
          <w:lang w:val="kk-KZ"/>
        </w:rPr>
      </w:pPr>
      <w:bookmarkStart w:id="0" w:name="_GoBack"/>
      <w:bookmarkEnd w:id="0"/>
      <w:r w:rsidRPr="009B23B7">
        <w:rPr>
          <w:rFonts w:ascii="Segoe UI" w:hAnsi="Segoe UI" w:cs="Segoe UI"/>
          <w:b/>
          <w:color w:val="000000" w:themeColor="text1"/>
          <w:sz w:val="22"/>
          <w:szCs w:val="22"/>
          <w:lang w:val="kk-KZ"/>
        </w:rPr>
        <w:t xml:space="preserve">ХВҚ қызметкерлерінің 2020 жылғы 2–13 қарашада Қазақстанға сапары </w:t>
      </w:r>
    </w:p>
    <w:p w:rsidR="00CE5F25" w:rsidRPr="009B23B7" w:rsidRDefault="00CE5F25" w:rsidP="00CE5F25">
      <w:pPr>
        <w:rPr>
          <w:sz w:val="22"/>
          <w:szCs w:val="22"/>
          <w:lang w:val="kk-KZ"/>
        </w:rPr>
      </w:pPr>
    </w:p>
    <w:p w:rsidR="00F81583" w:rsidRPr="009B23B7" w:rsidRDefault="00F81583" w:rsidP="00CE5F25">
      <w:pPr>
        <w:rPr>
          <w:rFonts w:ascii="Segoe UI" w:hAnsi="Segoe UI" w:cs="Segoe UI"/>
          <w:i/>
          <w:sz w:val="22"/>
          <w:szCs w:val="22"/>
          <w:lang w:val="kk-KZ"/>
        </w:rPr>
      </w:pPr>
      <w:r w:rsidRPr="009B23B7">
        <w:rPr>
          <w:rFonts w:ascii="Segoe UI" w:hAnsi="Segoe UI" w:cs="Segoe UI"/>
          <w:i/>
          <w:sz w:val="22"/>
          <w:szCs w:val="22"/>
          <w:lang w:val="kk-KZ"/>
        </w:rPr>
        <w:t xml:space="preserve">ХВҚ қызметкерлерінің тобы </w:t>
      </w:r>
      <w:r w:rsidR="008317FA" w:rsidRPr="009B23B7">
        <w:rPr>
          <w:rFonts w:ascii="Segoe UI" w:hAnsi="Segoe UI" w:cs="Segoe UI"/>
          <w:i/>
          <w:sz w:val="22"/>
          <w:szCs w:val="22"/>
          <w:lang w:val="kk-KZ"/>
        </w:rPr>
        <w:t>э</w:t>
      </w:r>
      <w:r w:rsidRPr="009B23B7">
        <w:rPr>
          <w:rFonts w:ascii="Segoe UI" w:hAnsi="Segoe UI" w:cs="Segoe UI"/>
          <w:i/>
          <w:sz w:val="22"/>
          <w:szCs w:val="22"/>
          <w:lang w:val="kk-KZ"/>
        </w:rPr>
        <w:t>кономикалық даму</w:t>
      </w:r>
      <w:r w:rsidR="008317FA" w:rsidRPr="009B23B7">
        <w:rPr>
          <w:rFonts w:ascii="Segoe UI" w:hAnsi="Segoe UI" w:cs="Segoe UI"/>
          <w:i/>
          <w:sz w:val="22"/>
          <w:szCs w:val="22"/>
          <w:lang w:val="kk-KZ"/>
        </w:rPr>
        <w:t>ды</w:t>
      </w:r>
      <w:r w:rsidRPr="009B23B7">
        <w:rPr>
          <w:rFonts w:ascii="Segoe UI" w:hAnsi="Segoe UI" w:cs="Segoe UI"/>
          <w:i/>
          <w:sz w:val="22"/>
          <w:szCs w:val="22"/>
          <w:lang w:val="kk-KZ"/>
        </w:rPr>
        <w:t>, перспективалар</w:t>
      </w:r>
      <w:r w:rsidR="008317FA" w:rsidRPr="009B23B7">
        <w:rPr>
          <w:rFonts w:ascii="Segoe UI" w:hAnsi="Segoe UI" w:cs="Segoe UI"/>
          <w:i/>
          <w:sz w:val="22"/>
          <w:szCs w:val="22"/>
          <w:lang w:val="kk-KZ"/>
        </w:rPr>
        <w:t>ды</w:t>
      </w:r>
      <w:r w:rsidRPr="009B23B7">
        <w:rPr>
          <w:rFonts w:ascii="Segoe UI" w:hAnsi="Segoe UI" w:cs="Segoe UI"/>
          <w:i/>
          <w:sz w:val="22"/>
          <w:szCs w:val="22"/>
          <w:lang w:val="kk-KZ"/>
        </w:rPr>
        <w:t>, тәуекелдер мен саясатты шолу үшін 2020 жылғы 2-13 қараша аралығында</w:t>
      </w:r>
      <w:r w:rsidR="008317FA" w:rsidRPr="009B23B7">
        <w:rPr>
          <w:rFonts w:ascii="Segoe UI" w:hAnsi="Segoe UI" w:cs="Segoe UI"/>
          <w:i/>
          <w:sz w:val="22"/>
          <w:szCs w:val="22"/>
          <w:lang w:val="kk-KZ"/>
        </w:rPr>
        <w:t>ғы кезеңде</w:t>
      </w:r>
      <w:r w:rsidRPr="009B23B7">
        <w:rPr>
          <w:rFonts w:ascii="Segoe UI" w:hAnsi="Segoe UI" w:cs="Segoe UI"/>
          <w:i/>
          <w:sz w:val="22"/>
          <w:szCs w:val="22"/>
          <w:lang w:val="kk-KZ"/>
        </w:rPr>
        <w:t xml:space="preserve"> Қазақстанда виртуалды миссия өткізді. Талқылаулар </w:t>
      </w:r>
      <w:r w:rsidR="003E41A9" w:rsidRPr="009B23B7">
        <w:rPr>
          <w:rFonts w:ascii="Segoe UI" w:hAnsi="Segoe UI" w:cs="Segoe UI"/>
          <w:i/>
          <w:sz w:val="22"/>
          <w:szCs w:val="22"/>
          <w:lang w:val="kk-KZ"/>
        </w:rPr>
        <w:t xml:space="preserve">Covid </w:t>
      </w:r>
      <w:r w:rsidRPr="009B23B7">
        <w:rPr>
          <w:rFonts w:ascii="Segoe UI" w:hAnsi="Segoe UI" w:cs="Segoe UI"/>
          <w:i/>
          <w:sz w:val="22"/>
          <w:szCs w:val="22"/>
          <w:lang w:val="kk-KZ"/>
        </w:rPr>
        <w:t xml:space="preserve">пандемиясының және мұнай нарығындағы бағаның </w:t>
      </w:r>
      <w:r w:rsidR="003E41A9" w:rsidRPr="009B23B7">
        <w:rPr>
          <w:rFonts w:ascii="Segoe UI" w:hAnsi="Segoe UI" w:cs="Segoe UI"/>
          <w:i/>
          <w:sz w:val="22"/>
          <w:szCs w:val="22"/>
          <w:lang w:val="kk-KZ"/>
        </w:rPr>
        <w:t>күтілмеген өзгерістерінің</w:t>
      </w:r>
      <w:r w:rsidRPr="009B23B7">
        <w:rPr>
          <w:rFonts w:ascii="Segoe UI" w:hAnsi="Segoe UI" w:cs="Segoe UI"/>
          <w:i/>
          <w:sz w:val="22"/>
          <w:szCs w:val="22"/>
          <w:lang w:val="kk-KZ"/>
        </w:rPr>
        <w:t xml:space="preserve"> салдары, уәкі</w:t>
      </w:r>
      <w:r w:rsidR="003E41A9" w:rsidRPr="009B23B7">
        <w:rPr>
          <w:rFonts w:ascii="Segoe UI" w:hAnsi="Segoe UI" w:cs="Segoe UI"/>
          <w:i/>
          <w:sz w:val="22"/>
          <w:szCs w:val="22"/>
          <w:lang w:val="kk-KZ"/>
        </w:rPr>
        <w:t>летті органдар</w:t>
      </w:r>
      <w:r w:rsidRPr="009B23B7">
        <w:rPr>
          <w:rFonts w:ascii="Segoe UI" w:hAnsi="Segoe UI" w:cs="Segoe UI"/>
          <w:i/>
          <w:sz w:val="22"/>
          <w:szCs w:val="22"/>
          <w:lang w:val="kk-KZ"/>
        </w:rPr>
        <w:t xml:space="preserve"> саясатының </w:t>
      </w:r>
      <w:r w:rsidR="003E41A9" w:rsidRPr="009B23B7">
        <w:rPr>
          <w:rFonts w:ascii="Segoe UI" w:hAnsi="Segoe UI" w:cs="Segoe UI"/>
          <w:i/>
          <w:sz w:val="22"/>
          <w:szCs w:val="22"/>
          <w:lang w:val="kk-KZ"/>
        </w:rPr>
        <w:t xml:space="preserve">жауап шараларының </w:t>
      </w:r>
      <w:r w:rsidRPr="009B23B7">
        <w:rPr>
          <w:rFonts w:ascii="Segoe UI" w:hAnsi="Segoe UI" w:cs="Segoe UI"/>
          <w:i/>
          <w:sz w:val="22"/>
          <w:szCs w:val="22"/>
          <w:lang w:val="kk-KZ"/>
        </w:rPr>
        <w:t>артықшылықтары мен проблемалары, сондай-ақ Covid пандемиясынан кейінгі реформалардың басымдықтары туралы болды. Миссия мүшелері Қазақстандағы уәкілетті органдар мен басқа да әріптестеріне ынтымақтастықтың жоғары деңгейі үшін алғыс білдіреді.</w:t>
      </w:r>
    </w:p>
    <w:p w:rsidR="00CE5F25" w:rsidRPr="009B23B7" w:rsidRDefault="00CE5F25" w:rsidP="00CE5F25">
      <w:pPr>
        <w:rPr>
          <w:rFonts w:ascii="Segoe UI" w:hAnsi="Segoe UI" w:cs="Segoe UI"/>
          <w:sz w:val="22"/>
          <w:szCs w:val="22"/>
          <w:lang w:val="kk-KZ"/>
        </w:rPr>
      </w:pPr>
    </w:p>
    <w:p w:rsidR="00CE5F25" w:rsidRPr="009B23B7" w:rsidRDefault="00CE5F25" w:rsidP="00CE5F25">
      <w:pPr>
        <w:rPr>
          <w:rFonts w:ascii="Segoe UI" w:hAnsi="Segoe UI" w:cs="Segoe UI"/>
          <w:b/>
          <w:sz w:val="22"/>
          <w:szCs w:val="22"/>
          <w:lang w:val="kk-KZ"/>
        </w:rPr>
      </w:pPr>
      <w:r w:rsidRPr="009B23B7">
        <w:rPr>
          <w:rFonts w:ascii="Segoe UI" w:hAnsi="Segoe UI" w:cs="Segoe UI"/>
          <w:b/>
          <w:sz w:val="22"/>
          <w:szCs w:val="22"/>
          <w:lang w:val="kk-KZ"/>
        </w:rPr>
        <w:t>Экономи</w:t>
      </w:r>
      <w:r w:rsidR="003E41A9" w:rsidRPr="009B23B7">
        <w:rPr>
          <w:rFonts w:ascii="Segoe UI" w:hAnsi="Segoe UI" w:cs="Segoe UI"/>
          <w:b/>
          <w:sz w:val="22"/>
          <w:szCs w:val="22"/>
          <w:lang w:val="kk-KZ"/>
        </w:rPr>
        <w:t>калық даму және перспективалар</w:t>
      </w:r>
    </w:p>
    <w:p w:rsidR="00CE5F25" w:rsidRPr="009B23B7" w:rsidRDefault="00CE5F25" w:rsidP="00CE5F25">
      <w:pPr>
        <w:rPr>
          <w:rFonts w:ascii="Segoe UI" w:hAnsi="Segoe UI" w:cs="Segoe UI"/>
          <w:sz w:val="22"/>
          <w:szCs w:val="22"/>
          <w:lang w:val="kk-KZ"/>
        </w:rPr>
      </w:pPr>
    </w:p>
    <w:p w:rsidR="00DA627B" w:rsidRPr="009B23B7" w:rsidRDefault="00CE5F25" w:rsidP="00CE5F25">
      <w:pPr>
        <w:rPr>
          <w:rFonts w:ascii="Segoe UI" w:hAnsi="Segoe UI" w:cs="Segoe UI"/>
          <w:sz w:val="22"/>
          <w:szCs w:val="22"/>
          <w:lang w:val="kk-KZ"/>
        </w:rPr>
      </w:pPr>
      <w:r w:rsidRPr="009B23B7">
        <w:rPr>
          <w:rFonts w:ascii="Segoe UI" w:hAnsi="Segoe UI" w:cs="Segoe UI"/>
          <w:sz w:val="22"/>
          <w:szCs w:val="22"/>
          <w:lang w:val="kk-KZ"/>
        </w:rPr>
        <w:t xml:space="preserve">1. </w:t>
      </w:r>
      <w:r w:rsidRPr="009B23B7">
        <w:rPr>
          <w:rFonts w:ascii="Segoe UI" w:hAnsi="Segoe UI" w:cs="Segoe UI"/>
          <w:sz w:val="22"/>
          <w:szCs w:val="22"/>
          <w:lang w:val="kk-KZ"/>
        </w:rPr>
        <w:tab/>
      </w:r>
      <w:r w:rsidR="00DA627B" w:rsidRPr="009B23B7">
        <w:rPr>
          <w:rFonts w:ascii="Segoe UI" w:hAnsi="Segoe UI" w:cs="Segoe UI"/>
          <w:sz w:val="22"/>
          <w:szCs w:val="22"/>
          <w:lang w:val="kk-KZ"/>
        </w:rPr>
        <w:t xml:space="preserve">Экономика Covid пандемиясының және мұнай нарығындағы бағаның күтілмеген өзгерістерінің салдарынан зардап шекті. </w:t>
      </w:r>
      <w:r w:rsidR="005A3F6B" w:rsidRPr="009B23B7">
        <w:rPr>
          <w:rFonts w:ascii="Segoe UI" w:hAnsi="Segoe UI" w:cs="Segoe UI"/>
          <w:sz w:val="22"/>
          <w:szCs w:val="22"/>
          <w:lang w:val="kk-KZ"/>
        </w:rPr>
        <w:t xml:space="preserve">ОПЕК+келісіміне сәйкес қызмет көрсету саласындағы белсенділіктің төмендеуі мен мұнай өндірісінің қысқаруына байланысты өндіріс көлемі 2020 жылдың алғашқы тоғыз айында шамамен 2,8 пайызға қысқарды. Соған қарамастан, ауыл шаруашылығы, өңдеу өнеркәсібі және құрылыс мемлекеттік бағдарламалар желісі бойынша қолдау кезінде оң өсуді сақтап қалды. </w:t>
      </w:r>
      <w:r w:rsidR="00C11DE3" w:rsidRPr="009B23B7">
        <w:rPr>
          <w:rFonts w:ascii="Segoe UI" w:hAnsi="Segoe UI" w:cs="Segoe UI"/>
          <w:sz w:val="22"/>
          <w:szCs w:val="22"/>
          <w:lang w:val="kk-KZ"/>
        </w:rPr>
        <w:t xml:space="preserve">Қазанда 7 пайыз деңгейінде бола отырып, инфляция Ұлттық Банктің (ҚРҰБ) нысаналы дәлізінен 4-6 пайызға асып түсті, бұл тамақ өнімдері бағасының таяудағы өсуін және теңге бағамының төмендеуін көрсетеді. Үшінші тоқсанда сыртқы ағымдағы операциялар есебінен негізінен мұнай экспортының әлсіздігінен тапшылық пайда болады деп күтілуде; алайда, алтынвалюта резервтері негізінен алтын бағасының өсуі есебінен артты. </w:t>
      </w:r>
      <w:r w:rsidR="00C9709E" w:rsidRPr="009B23B7">
        <w:rPr>
          <w:rFonts w:ascii="Segoe UI" w:hAnsi="Segoe UI" w:cs="Segoe UI"/>
          <w:sz w:val="22"/>
          <w:szCs w:val="22"/>
          <w:lang w:val="kk-KZ"/>
        </w:rPr>
        <w:t xml:space="preserve">Миссия 2020 жылы экономикалық белсенділік 2,7 пайызға қысқарып, келесі жылы өсу оң мәндерге оралады деп болжайды, дегенмен пандемияның дамуына, мұнай бағасының тұрақсыздығына және негізгі сауда </w:t>
      </w:r>
      <w:r w:rsidR="00BD1AB9" w:rsidRPr="009B23B7">
        <w:rPr>
          <w:rFonts w:ascii="Segoe UI" w:hAnsi="Segoe UI" w:cs="Segoe UI"/>
          <w:sz w:val="22"/>
          <w:szCs w:val="22"/>
          <w:lang w:val="kk-KZ"/>
        </w:rPr>
        <w:t>ә</w:t>
      </w:r>
      <w:r w:rsidR="00C9709E" w:rsidRPr="009B23B7">
        <w:rPr>
          <w:rFonts w:ascii="Segoe UI" w:hAnsi="Segoe UI" w:cs="Segoe UI"/>
          <w:sz w:val="22"/>
          <w:szCs w:val="22"/>
          <w:lang w:val="kk-KZ"/>
        </w:rPr>
        <w:t>рі</w:t>
      </w:r>
      <w:r w:rsidR="00BD1AB9" w:rsidRPr="009B23B7">
        <w:rPr>
          <w:rFonts w:ascii="Segoe UI" w:hAnsi="Segoe UI" w:cs="Segoe UI"/>
          <w:sz w:val="22"/>
          <w:szCs w:val="22"/>
          <w:lang w:val="kk-KZ"/>
        </w:rPr>
        <w:t>п</w:t>
      </w:r>
      <w:r w:rsidR="00C9709E" w:rsidRPr="009B23B7">
        <w:rPr>
          <w:rFonts w:ascii="Segoe UI" w:hAnsi="Segoe UI" w:cs="Segoe UI"/>
          <w:sz w:val="22"/>
          <w:szCs w:val="22"/>
          <w:lang w:val="kk-KZ"/>
        </w:rPr>
        <w:t>тестерінің қатысуымен сауда шиеленісіне қатысты айтарлықтай т</w:t>
      </w:r>
      <w:r w:rsidR="00BD1AB9" w:rsidRPr="009B23B7">
        <w:rPr>
          <w:rFonts w:ascii="Segoe UI" w:hAnsi="Segoe UI" w:cs="Segoe UI"/>
          <w:sz w:val="22"/>
          <w:szCs w:val="22"/>
          <w:lang w:val="kk-KZ"/>
        </w:rPr>
        <w:t>әуекелд</w:t>
      </w:r>
      <w:r w:rsidR="00C9709E" w:rsidRPr="009B23B7">
        <w:rPr>
          <w:rFonts w:ascii="Segoe UI" w:hAnsi="Segoe UI" w:cs="Segoe UI"/>
          <w:sz w:val="22"/>
          <w:szCs w:val="22"/>
          <w:lang w:val="kk-KZ"/>
        </w:rPr>
        <w:t xml:space="preserve">ер сақталуда. </w:t>
      </w:r>
    </w:p>
    <w:p w:rsidR="00A63B93" w:rsidRPr="009B23B7" w:rsidRDefault="00A63B93" w:rsidP="00CE5F25">
      <w:pPr>
        <w:rPr>
          <w:rFonts w:ascii="Segoe UI" w:hAnsi="Segoe UI" w:cs="Segoe UI"/>
          <w:b/>
          <w:sz w:val="22"/>
          <w:szCs w:val="22"/>
          <w:lang w:val="kk-KZ"/>
        </w:rPr>
      </w:pPr>
    </w:p>
    <w:p w:rsidR="00CE5F25" w:rsidRPr="009B23B7" w:rsidRDefault="00606CA9" w:rsidP="00CE5F25">
      <w:pPr>
        <w:rPr>
          <w:rFonts w:ascii="Segoe UI" w:hAnsi="Segoe UI" w:cs="Segoe UI"/>
          <w:b/>
          <w:sz w:val="22"/>
          <w:szCs w:val="22"/>
          <w:lang w:val="kk-KZ"/>
        </w:rPr>
      </w:pPr>
      <w:r w:rsidRPr="009B23B7">
        <w:rPr>
          <w:rFonts w:ascii="Segoe UI" w:hAnsi="Segoe UI" w:cs="Segoe UI"/>
          <w:b/>
          <w:sz w:val="22"/>
          <w:szCs w:val="22"/>
          <w:lang w:val="kk-KZ"/>
        </w:rPr>
        <w:t xml:space="preserve">Ақша-кредит </w:t>
      </w:r>
      <w:r w:rsidR="00F34F61" w:rsidRPr="009B23B7">
        <w:rPr>
          <w:rFonts w:ascii="Segoe UI" w:hAnsi="Segoe UI" w:cs="Segoe UI"/>
          <w:b/>
          <w:sz w:val="22"/>
          <w:szCs w:val="22"/>
          <w:lang w:val="kk-KZ"/>
        </w:rPr>
        <w:t xml:space="preserve">және бағам </w:t>
      </w:r>
      <w:r w:rsidRPr="009B23B7">
        <w:rPr>
          <w:rFonts w:ascii="Segoe UI" w:hAnsi="Segoe UI" w:cs="Segoe UI"/>
          <w:b/>
          <w:sz w:val="22"/>
          <w:szCs w:val="22"/>
          <w:lang w:val="kk-KZ"/>
        </w:rPr>
        <w:t xml:space="preserve">саясаты  </w:t>
      </w:r>
    </w:p>
    <w:p w:rsidR="00A63B93" w:rsidRPr="009B23B7" w:rsidRDefault="00A63B93" w:rsidP="00CE5F25">
      <w:pPr>
        <w:rPr>
          <w:rFonts w:ascii="Segoe UI" w:hAnsi="Segoe UI" w:cs="Segoe UI"/>
          <w:b/>
          <w:sz w:val="22"/>
          <w:szCs w:val="22"/>
          <w:lang w:val="kk-KZ"/>
        </w:rPr>
      </w:pPr>
    </w:p>
    <w:p w:rsidR="00DC0C1F" w:rsidRPr="009B23B7" w:rsidRDefault="00CE5F25" w:rsidP="00CE5F25">
      <w:pPr>
        <w:rPr>
          <w:rFonts w:ascii="Segoe UI" w:hAnsi="Segoe UI" w:cs="Segoe UI"/>
          <w:sz w:val="22"/>
          <w:szCs w:val="22"/>
          <w:lang w:val="kk-KZ"/>
        </w:rPr>
      </w:pPr>
      <w:r w:rsidRPr="009B23B7">
        <w:rPr>
          <w:rFonts w:ascii="Segoe UI" w:hAnsi="Segoe UI" w:cs="Segoe UI"/>
          <w:sz w:val="22"/>
          <w:szCs w:val="22"/>
          <w:lang w:val="kk-KZ"/>
        </w:rPr>
        <w:t xml:space="preserve">2. </w:t>
      </w:r>
      <w:r w:rsidRPr="009B23B7">
        <w:rPr>
          <w:rFonts w:ascii="Segoe UI" w:hAnsi="Segoe UI" w:cs="Segoe UI"/>
          <w:sz w:val="22"/>
          <w:szCs w:val="22"/>
          <w:lang w:val="kk-KZ"/>
        </w:rPr>
        <w:tab/>
      </w:r>
      <w:r w:rsidR="00DC0C1F" w:rsidRPr="009B23B7">
        <w:rPr>
          <w:rFonts w:ascii="Segoe UI" w:hAnsi="Segoe UI" w:cs="Segoe UI"/>
          <w:sz w:val="22"/>
          <w:szCs w:val="22"/>
          <w:lang w:val="kk-KZ"/>
        </w:rPr>
        <w:t>Наурызда мұнай бағасының күрт төмендеуінен кейін ҚРҰБ есептік мөлшерлемені 12 пайызға дейін (9,25 пайыздан) көтерді, пайыздық мөлшерлеме дәлізін кеңейтті</w:t>
      </w:r>
      <w:r w:rsidR="009B23B7">
        <w:rPr>
          <w:rFonts w:ascii="Segoe UI" w:hAnsi="Segoe UI" w:cs="Segoe UI"/>
          <w:sz w:val="22"/>
          <w:szCs w:val="22"/>
          <w:lang w:val="kk-KZ"/>
        </w:rPr>
        <w:t>,</w:t>
      </w:r>
      <w:r w:rsidR="00DC0C1F" w:rsidRPr="009B23B7">
        <w:rPr>
          <w:rFonts w:ascii="Segoe UI" w:hAnsi="Segoe UI" w:cs="Segoe UI"/>
          <w:sz w:val="22"/>
          <w:szCs w:val="22"/>
          <w:lang w:val="kk-KZ"/>
        </w:rPr>
        <w:t xml:space="preserve"> </w:t>
      </w:r>
      <w:r w:rsidR="000D731E" w:rsidRPr="000D731E">
        <w:rPr>
          <w:rFonts w:ascii="Segoe UI" w:hAnsi="Segoe UI" w:cs="Segoe UI"/>
          <w:sz w:val="22"/>
          <w:szCs w:val="22"/>
          <w:lang w:val="kk-KZ"/>
        </w:rPr>
        <w:t>валюта нарығына интервенция жасады және айырбастау бағамының қысқа мерзімді тұрақсыздығын шектеу үшін шетел валютасын сатып алу тәртібі туралы ережелерге өзгерістер енгізді</w:t>
      </w:r>
      <w:r w:rsidR="00DC0C1F" w:rsidRPr="009B23B7">
        <w:rPr>
          <w:rFonts w:ascii="Segoe UI" w:hAnsi="Segoe UI" w:cs="Segoe UI"/>
          <w:sz w:val="22"/>
          <w:szCs w:val="22"/>
          <w:lang w:val="kk-KZ"/>
        </w:rPr>
        <w:t xml:space="preserve">. </w:t>
      </w:r>
      <w:r w:rsidR="00941667" w:rsidRPr="009B23B7">
        <w:rPr>
          <w:rFonts w:ascii="Segoe UI" w:hAnsi="Segoe UI" w:cs="Segoe UI"/>
          <w:sz w:val="22"/>
          <w:szCs w:val="22"/>
          <w:lang w:val="kk-KZ"/>
        </w:rPr>
        <w:t>Валюта нарығындағы қысымның әлсіреуіне және экономикалық белсенділікке қатысты алаңдаушылықтың артуына қарай ҚРҰБ базалық мөлшерлемені жазға қарай 9 пайызға дейін төмендетіп, жеңілдікті мөлшерлемелер бойынша кредиттеудің қолданыстағы бағдарламаларын кеңейтті және шағын және орта кәсіпорындар (ШОК) үшін жаңа бағдарламаны іске қосты.</w:t>
      </w:r>
      <w:r w:rsidR="000A61FC" w:rsidRPr="009B23B7">
        <w:rPr>
          <w:rFonts w:ascii="Segoe UI" w:hAnsi="Segoe UI" w:cs="Segoe UI"/>
          <w:sz w:val="22"/>
          <w:szCs w:val="22"/>
          <w:lang w:val="kk-KZ"/>
        </w:rPr>
        <w:t xml:space="preserve"> Бұл шаралар жеке секторды кредиттеуді қолдауда табысты болды.</w:t>
      </w:r>
    </w:p>
    <w:p w:rsidR="00154C23" w:rsidRPr="009B23B7" w:rsidRDefault="00154C23" w:rsidP="00CE5F25">
      <w:pPr>
        <w:rPr>
          <w:rFonts w:ascii="Segoe UI" w:hAnsi="Segoe UI" w:cs="Segoe UI"/>
          <w:sz w:val="22"/>
          <w:szCs w:val="22"/>
          <w:lang w:val="kk-KZ"/>
        </w:rPr>
      </w:pPr>
    </w:p>
    <w:p w:rsidR="00CE5F25" w:rsidRPr="009B23B7" w:rsidRDefault="00A63B93" w:rsidP="00CE5F25">
      <w:pPr>
        <w:rPr>
          <w:rFonts w:ascii="Segoe UI" w:hAnsi="Segoe UI" w:cs="Segoe UI"/>
          <w:sz w:val="22"/>
          <w:szCs w:val="22"/>
          <w:lang w:val="kk-KZ"/>
        </w:rPr>
      </w:pPr>
      <w:r w:rsidRPr="009B23B7">
        <w:rPr>
          <w:rFonts w:ascii="Segoe UI" w:hAnsi="Segoe UI" w:cs="Segoe UI"/>
          <w:sz w:val="22"/>
          <w:szCs w:val="22"/>
          <w:lang w:val="kk-KZ"/>
        </w:rPr>
        <w:t xml:space="preserve">3. </w:t>
      </w:r>
      <w:r w:rsidRPr="009B23B7">
        <w:rPr>
          <w:rFonts w:ascii="Segoe UI" w:hAnsi="Segoe UI" w:cs="Segoe UI"/>
          <w:sz w:val="22"/>
          <w:szCs w:val="22"/>
          <w:lang w:val="kk-KZ"/>
        </w:rPr>
        <w:tab/>
      </w:r>
      <w:r w:rsidR="008C6DEB" w:rsidRPr="009B23B7">
        <w:rPr>
          <w:rFonts w:ascii="Segoe UI" w:hAnsi="Segoe UI" w:cs="Segoe UI"/>
          <w:sz w:val="22"/>
          <w:szCs w:val="22"/>
          <w:lang w:val="kk-KZ"/>
        </w:rPr>
        <w:t xml:space="preserve">Ақша-кредит және қаржы саясатының дағдарысқа реакциясы шешуші және уақтылы болғанына қарамастан, ол экономиканы қаржыландырудағы мемлекеттің </w:t>
      </w:r>
      <w:r w:rsidR="008C6DEB" w:rsidRPr="009B23B7">
        <w:rPr>
          <w:rFonts w:ascii="Segoe UI" w:hAnsi="Segoe UI" w:cs="Segoe UI"/>
          <w:sz w:val="22"/>
          <w:szCs w:val="22"/>
          <w:lang w:val="kk-KZ"/>
        </w:rPr>
        <w:lastRenderedPageBreak/>
        <w:t xml:space="preserve">маңызды рөлін одан әрі күшейтті. Пандемияның ықтимал екінші толқынына қатысты белгісіздікті ескере отырып, дағдарысқа қарсы шараларды кеңейту қажет болуы мүмкін, бірақ мемлекеттің араласуын қысқарту және нарықтық тетіктер негізінде экономиканы қалпына келтіру үшін негіз құру мақсатында оларды біртіндеп қысқартуды </w:t>
      </w:r>
      <w:r w:rsidR="00C268B5">
        <w:rPr>
          <w:rFonts w:ascii="Segoe UI" w:hAnsi="Segoe UI" w:cs="Segoe UI"/>
          <w:sz w:val="22"/>
          <w:szCs w:val="22"/>
          <w:lang w:val="kk-KZ"/>
        </w:rPr>
        <w:t>жүргізу</w:t>
      </w:r>
      <w:r w:rsidR="008C6DEB" w:rsidRPr="009B23B7">
        <w:rPr>
          <w:rFonts w:ascii="Segoe UI" w:hAnsi="Segoe UI" w:cs="Segoe UI"/>
          <w:sz w:val="22"/>
          <w:szCs w:val="22"/>
          <w:lang w:val="kk-KZ"/>
        </w:rPr>
        <w:t xml:space="preserve"> маңызды. Кең мағынада, қазіргі уақытта талқыланатын орта мерзімді ақша-кредит стратегиясы ақша-кредит саясатын тиімді іске асыру жолындағы кедергілерді анықтау және жою үшін маңызды болады. </w:t>
      </w:r>
      <w:r w:rsidR="008C460E" w:rsidRPr="009B23B7">
        <w:rPr>
          <w:rFonts w:ascii="Segoe UI" w:hAnsi="Segoe UI" w:cs="Segoe UI"/>
          <w:sz w:val="22"/>
          <w:szCs w:val="22"/>
          <w:lang w:val="kk-KZ"/>
        </w:rPr>
        <w:t xml:space="preserve">ҚРҰБ-ның инфляциялық таргеттеу саясатын ұстанушылығы жоғары бағалауға лайық. </w:t>
      </w:r>
      <w:r w:rsidR="00C70E4C" w:rsidRPr="009B23B7">
        <w:rPr>
          <w:rFonts w:ascii="Segoe UI" w:hAnsi="Segoe UI" w:cs="Segoe UI"/>
          <w:sz w:val="22"/>
          <w:szCs w:val="22"/>
          <w:lang w:val="kk-KZ"/>
        </w:rPr>
        <w:t>Бұл бір мезгілде долларландыруды төмендетуге бағытталған саясатты ілгерілету және инфляцияға айырбастау бағамы құбылмалылығының әсерін біртіндеп төмендетуге бағытталған реформаларды жүргізу кезінде ағымдағы жылдың көктеміндегі оқиғалар көрсеткендей,  амортизатор ретінде қызмет ететін икемді айырбастау бағамын қолдауды қамтиды.</w:t>
      </w:r>
      <w:r w:rsidR="00C72005" w:rsidRPr="009B23B7">
        <w:rPr>
          <w:rFonts w:ascii="Segoe UI" w:hAnsi="Segoe UI" w:cs="Segoe UI"/>
          <w:sz w:val="22"/>
          <w:szCs w:val="22"/>
          <w:lang w:val="kk-KZ"/>
        </w:rPr>
        <w:t xml:space="preserve"> Осыған байланысты мемлекеттік саясатқа сенімнің күшеюі ҚРҰБ тәуелсіздігін нығайтудан, инфляцияның сенімді нысаналы көрсеткіштерін белгілеуден және инфляциялық күтулерді неғұрлым тиімді шектеу мақсатында ақша-кредит саясатының әсерін беру тет</w:t>
      </w:r>
      <w:r w:rsidR="0068665C" w:rsidRPr="009B23B7">
        <w:rPr>
          <w:rFonts w:ascii="Segoe UI" w:hAnsi="Segoe UI" w:cs="Segoe UI"/>
          <w:sz w:val="22"/>
          <w:szCs w:val="22"/>
          <w:lang w:val="kk-KZ"/>
        </w:rPr>
        <w:t>іктерін нығайтудан пайда көреді</w:t>
      </w:r>
      <w:r w:rsidR="00CE5F25" w:rsidRPr="009B23B7">
        <w:rPr>
          <w:rFonts w:ascii="Segoe UI" w:hAnsi="Segoe UI" w:cs="Segoe UI"/>
          <w:sz w:val="22"/>
          <w:szCs w:val="22"/>
          <w:lang w:val="kk-KZ"/>
        </w:rPr>
        <w:t xml:space="preserve">.  </w:t>
      </w:r>
    </w:p>
    <w:p w:rsidR="008B2D9C" w:rsidRPr="009B23B7" w:rsidRDefault="008B2D9C" w:rsidP="00CE5F25">
      <w:pPr>
        <w:rPr>
          <w:rFonts w:ascii="Segoe UI" w:hAnsi="Segoe UI" w:cs="Segoe UI"/>
          <w:b/>
          <w:sz w:val="22"/>
          <w:szCs w:val="22"/>
          <w:lang w:val="kk-KZ"/>
        </w:rPr>
      </w:pPr>
    </w:p>
    <w:p w:rsidR="00CE5F25" w:rsidRPr="009B23B7" w:rsidRDefault="0068665C" w:rsidP="00CE5F25">
      <w:pPr>
        <w:rPr>
          <w:rFonts w:ascii="Segoe UI" w:hAnsi="Segoe UI" w:cs="Segoe UI"/>
          <w:b/>
          <w:sz w:val="22"/>
          <w:szCs w:val="22"/>
          <w:lang w:val="kk-KZ"/>
        </w:rPr>
      </w:pPr>
      <w:r w:rsidRPr="009B23B7">
        <w:rPr>
          <w:rFonts w:ascii="Segoe UI" w:hAnsi="Segoe UI" w:cs="Segoe UI"/>
          <w:b/>
          <w:sz w:val="22"/>
          <w:szCs w:val="22"/>
          <w:lang w:val="kk-KZ"/>
        </w:rPr>
        <w:t xml:space="preserve">Қаржы секторындағы саясат </w:t>
      </w:r>
    </w:p>
    <w:p w:rsidR="008B2D9C" w:rsidRPr="009B23B7" w:rsidRDefault="008B2D9C" w:rsidP="00CE5F25">
      <w:pPr>
        <w:rPr>
          <w:rFonts w:ascii="Segoe UI" w:hAnsi="Segoe UI" w:cs="Segoe UI"/>
          <w:b/>
          <w:sz w:val="22"/>
          <w:szCs w:val="22"/>
          <w:lang w:val="kk-KZ"/>
        </w:rPr>
      </w:pPr>
    </w:p>
    <w:p w:rsidR="009B382C" w:rsidRDefault="00CE5F25" w:rsidP="00CE5F25">
      <w:pPr>
        <w:rPr>
          <w:rFonts w:ascii="Segoe UI" w:hAnsi="Segoe UI" w:cs="Segoe UI"/>
          <w:sz w:val="22"/>
          <w:szCs w:val="22"/>
          <w:lang w:val="kk-KZ"/>
        </w:rPr>
      </w:pPr>
      <w:r w:rsidRPr="009B23B7">
        <w:rPr>
          <w:rFonts w:ascii="Segoe UI" w:hAnsi="Segoe UI" w:cs="Segoe UI"/>
          <w:sz w:val="22"/>
          <w:szCs w:val="22"/>
          <w:lang w:val="kk-KZ"/>
        </w:rPr>
        <w:t xml:space="preserve">4. </w:t>
      </w:r>
      <w:r w:rsidRPr="009B23B7">
        <w:rPr>
          <w:rFonts w:ascii="Segoe UI" w:hAnsi="Segoe UI" w:cs="Segoe UI"/>
          <w:sz w:val="22"/>
          <w:szCs w:val="22"/>
          <w:lang w:val="kk-KZ"/>
        </w:rPr>
        <w:tab/>
      </w:r>
      <w:r w:rsidR="00A92D12" w:rsidRPr="009B23B7">
        <w:rPr>
          <w:rFonts w:ascii="Segoe UI" w:hAnsi="Segoe UI" w:cs="Segoe UI"/>
          <w:sz w:val="22"/>
          <w:szCs w:val="22"/>
          <w:lang w:val="kk-KZ"/>
        </w:rPr>
        <w:t xml:space="preserve">Көптеген банктер </w:t>
      </w:r>
      <w:r w:rsidR="00F76A83" w:rsidRPr="009B23B7">
        <w:rPr>
          <w:rFonts w:ascii="Segoe UI" w:hAnsi="Segoe UI" w:cs="Segoe UI"/>
          <w:sz w:val="22"/>
          <w:szCs w:val="22"/>
          <w:lang w:val="kk-KZ"/>
        </w:rPr>
        <w:t xml:space="preserve">Covid </w:t>
      </w:r>
      <w:r w:rsidR="00A92D12" w:rsidRPr="009B23B7">
        <w:rPr>
          <w:rFonts w:ascii="Segoe UI" w:hAnsi="Segoe UI" w:cs="Segoe UI"/>
          <w:sz w:val="22"/>
          <w:szCs w:val="22"/>
          <w:lang w:val="kk-KZ"/>
        </w:rPr>
        <w:t xml:space="preserve">дағдарысына салыстырмалы түрде үлкен капитал қорымен кірді, бұл осы тұрақтылықтың </w:t>
      </w:r>
      <w:r w:rsidR="00F446CC" w:rsidRPr="009B23B7">
        <w:rPr>
          <w:rFonts w:ascii="Segoe UI" w:hAnsi="Segoe UI" w:cs="Segoe UI"/>
          <w:sz w:val="22"/>
          <w:szCs w:val="22"/>
          <w:lang w:val="kk-KZ"/>
        </w:rPr>
        <w:t>бұ</w:t>
      </w:r>
      <w:r w:rsidR="00A92D12" w:rsidRPr="009B23B7">
        <w:rPr>
          <w:rFonts w:ascii="Segoe UI" w:hAnsi="Segoe UI" w:cs="Segoe UI"/>
          <w:sz w:val="22"/>
          <w:szCs w:val="22"/>
          <w:lang w:val="kk-KZ"/>
        </w:rPr>
        <w:t>дан әрі де сақталумен 2020 жылдың басында жүргізілген активтердің сапасын тексерумен (A</w:t>
      </w:r>
      <w:r w:rsidR="00F446CC" w:rsidRPr="009B23B7">
        <w:rPr>
          <w:rFonts w:ascii="Segoe UI" w:hAnsi="Segoe UI" w:cs="Segoe UI"/>
          <w:sz w:val="22"/>
          <w:szCs w:val="22"/>
          <w:lang w:val="kk-KZ"/>
        </w:rPr>
        <w:t>СТ</w:t>
      </w:r>
      <w:r w:rsidR="00A92D12" w:rsidRPr="009B23B7">
        <w:rPr>
          <w:rFonts w:ascii="Segoe UI" w:hAnsi="Segoe UI" w:cs="Segoe UI"/>
          <w:sz w:val="22"/>
          <w:szCs w:val="22"/>
          <w:lang w:val="kk-KZ"/>
        </w:rPr>
        <w:t>) расталады.</w:t>
      </w:r>
      <w:r w:rsidR="00F76A83" w:rsidRPr="009B23B7">
        <w:rPr>
          <w:rFonts w:ascii="Segoe UI" w:hAnsi="Segoe UI" w:cs="Segoe UI"/>
          <w:sz w:val="22"/>
          <w:szCs w:val="22"/>
          <w:lang w:val="kk-KZ"/>
        </w:rPr>
        <w:t xml:space="preserve"> </w:t>
      </w:r>
      <w:r w:rsidR="00F446CC" w:rsidRPr="009B23B7">
        <w:rPr>
          <w:rFonts w:ascii="Segoe UI" w:hAnsi="Segoe UI" w:cs="Segoe UI"/>
          <w:sz w:val="22"/>
          <w:szCs w:val="22"/>
          <w:lang w:val="kk-KZ"/>
        </w:rPr>
        <w:t xml:space="preserve">Пандемия кезінде капитал мен өтімділікке қойылатын талаптарды төмендетуді, тәуекелдердің салмақты коэффициенттерін төмендетуді және белгілі бір кредиттік экспозициялар бойынша кредиттердің жіктелуін тоқтатуды қоса алғанда, бірқатар </w:t>
      </w:r>
      <w:r w:rsidR="00FB28F9">
        <w:rPr>
          <w:rFonts w:ascii="Segoe UI" w:hAnsi="Segoe UI" w:cs="Segoe UI"/>
          <w:sz w:val="22"/>
          <w:szCs w:val="22"/>
          <w:lang w:val="kk-KZ"/>
        </w:rPr>
        <w:t>уақытша</w:t>
      </w:r>
      <w:r w:rsidR="00FB28F9" w:rsidRPr="009B23B7">
        <w:rPr>
          <w:rFonts w:ascii="Segoe UI" w:hAnsi="Segoe UI" w:cs="Segoe UI"/>
          <w:sz w:val="22"/>
          <w:szCs w:val="22"/>
          <w:lang w:val="kk-KZ"/>
        </w:rPr>
        <w:t xml:space="preserve"> </w:t>
      </w:r>
      <w:r w:rsidR="00F446CC" w:rsidRPr="009B23B7">
        <w:rPr>
          <w:rFonts w:ascii="Segoe UI" w:hAnsi="Segoe UI" w:cs="Segoe UI"/>
          <w:sz w:val="22"/>
          <w:szCs w:val="22"/>
          <w:lang w:val="kk-KZ"/>
        </w:rPr>
        <w:t>реттеушілік жеңілдіктер енгізілді. Бұл шаралар дағдарыстың әсерін азайтуға көмектесті, бірақ қаржы секторының тұрақтылығы</w:t>
      </w:r>
      <w:r w:rsidR="002D0D16">
        <w:rPr>
          <w:rFonts w:ascii="Segoe UI" w:hAnsi="Segoe UI" w:cs="Segoe UI"/>
          <w:sz w:val="22"/>
          <w:szCs w:val="22"/>
          <w:lang w:val="kk-KZ"/>
        </w:rPr>
        <w:t>на</w:t>
      </w:r>
      <w:r w:rsidR="00F446CC" w:rsidRPr="009B23B7">
        <w:rPr>
          <w:rFonts w:ascii="Segoe UI" w:hAnsi="Segoe UI" w:cs="Segoe UI"/>
          <w:sz w:val="22"/>
          <w:szCs w:val="22"/>
          <w:lang w:val="kk-KZ"/>
        </w:rPr>
        <w:t xml:space="preserve"> тәуекелдерді шектеу үшін </w:t>
      </w:r>
      <w:r w:rsidR="00E24CF1" w:rsidRPr="00E24CF1">
        <w:rPr>
          <w:rFonts w:ascii="Segoe UI" w:hAnsi="Segoe UI" w:cs="Segoe UI"/>
          <w:sz w:val="22"/>
          <w:szCs w:val="22"/>
          <w:lang w:val="kk-KZ"/>
        </w:rPr>
        <w:t>экономика қалпына келген сайын оларды біртіндеп азайту керек.</w:t>
      </w:r>
      <w:r w:rsidR="00F446CC" w:rsidRPr="009B23B7">
        <w:rPr>
          <w:rFonts w:ascii="Segoe UI" w:hAnsi="Segoe UI" w:cs="Segoe UI"/>
          <w:sz w:val="22"/>
          <w:szCs w:val="22"/>
          <w:lang w:val="kk-KZ"/>
        </w:rPr>
        <w:t xml:space="preserve"> Қажет болған жағдайда банктер өздерінің капитал резервтері мен өтімділігін қалпына келтіру бойынша пәрменді орта мерзімді жоспарларды әзірлеуі керек</w:t>
      </w:r>
      <w:r w:rsidR="009B382C">
        <w:rPr>
          <w:rFonts w:ascii="Segoe UI" w:hAnsi="Segoe UI" w:cs="Segoe UI"/>
          <w:sz w:val="22"/>
          <w:szCs w:val="22"/>
          <w:lang w:val="kk-KZ"/>
        </w:rPr>
        <w:t xml:space="preserve"> </w:t>
      </w:r>
      <w:r w:rsidR="009B382C" w:rsidRPr="009B382C">
        <w:rPr>
          <w:rFonts w:ascii="Segoe UI" w:hAnsi="Segoe UI" w:cs="Segoe UI"/>
          <w:sz w:val="22"/>
          <w:szCs w:val="22"/>
          <w:lang w:val="kk-KZ"/>
        </w:rPr>
        <w:t xml:space="preserve">және </w:t>
      </w:r>
      <w:r w:rsidR="009B382C">
        <w:rPr>
          <w:rFonts w:ascii="Segoe UI" w:hAnsi="Segoe UI" w:cs="Segoe UI"/>
          <w:sz w:val="22"/>
          <w:szCs w:val="22"/>
          <w:lang w:val="kk-KZ"/>
        </w:rPr>
        <w:t xml:space="preserve">АСТ </w:t>
      </w:r>
      <w:r w:rsidR="009B382C" w:rsidRPr="009B382C">
        <w:rPr>
          <w:rFonts w:ascii="Segoe UI" w:hAnsi="Segoe UI" w:cs="Segoe UI"/>
          <w:sz w:val="22"/>
          <w:szCs w:val="22"/>
          <w:lang w:val="kk-KZ"/>
        </w:rPr>
        <w:t>шеңберінде анықталған қайта капиталдандыру қажеттіліктеріне қатысты шаралар қабылдауға тиіс.</w:t>
      </w:r>
      <w:r w:rsidR="009B382C">
        <w:rPr>
          <w:rFonts w:ascii="Segoe UI" w:hAnsi="Segoe UI" w:cs="Segoe UI"/>
          <w:sz w:val="22"/>
          <w:szCs w:val="22"/>
          <w:lang w:val="kk-KZ"/>
        </w:rPr>
        <w:t xml:space="preserve"> </w:t>
      </w:r>
    </w:p>
    <w:p w:rsidR="00DE7AB9" w:rsidRPr="009B23B7" w:rsidRDefault="00DE7AB9" w:rsidP="00CE5F25">
      <w:pPr>
        <w:rPr>
          <w:rFonts w:ascii="Segoe UI" w:hAnsi="Segoe UI" w:cs="Segoe UI"/>
          <w:sz w:val="22"/>
          <w:szCs w:val="22"/>
          <w:lang w:val="kk-KZ"/>
        </w:rPr>
      </w:pPr>
    </w:p>
    <w:p w:rsidR="00A723EE" w:rsidRPr="009B23B7" w:rsidRDefault="00CE5F25" w:rsidP="00A723EE">
      <w:pPr>
        <w:rPr>
          <w:rFonts w:ascii="Segoe UI" w:hAnsi="Segoe UI" w:cs="Segoe UI"/>
          <w:sz w:val="22"/>
          <w:szCs w:val="22"/>
          <w:lang w:val="kk-KZ"/>
        </w:rPr>
      </w:pPr>
      <w:r w:rsidRPr="009B23B7">
        <w:rPr>
          <w:rFonts w:ascii="Segoe UI" w:hAnsi="Segoe UI" w:cs="Segoe UI"/>
          <w:sz w:val="22"/>
          <w:szCs w:val="22"/>
          <w:lang w:val="kk-KZ"/>
        </w:rPr>
        <w:t xml:space="preserve">5. </w:t>
      </w:r>
      <w:r w:rsidRPr="009B23B7">
        <w:rPr>
          <w:rFonts w:ascii="Segoe UI" w:hAnsi="Segoe UI" w:cs="Segoe UI"/>
          <w:sz w:val="22"/>
          <w:szCs w:val="22"/>
          <w:lang w:val="kk-KZ"/>
        </w:rPr>
        <w:tab/>
      </w:r>
      <w:r w:rsidR="00A86121" w:rsidRPr="009B23B7">
        <w:rPr>
          <w:rFonts w:ascii="Segoe UI" w:hAnsi="Segoe UI" w:cs="Segoe UI"/>
          <w:sz w:val="22"/>
          <w:szCs w:val="22"/>
          <w:lang w:val="kk-KZ"/>
        </w:rPr>
        <w:t xml:space="preserve">Жақында құрылған </w:t>
      </w:r>
      <w:r w:rsidR="00A723EE" w:rsidRPr="009B23B7">
        <w:rPr>
          <w:rFonts w:ascii="Segoe UI" w:hAnsi="Segoe UI" w:cs="Segoe UI"/>
          <w:sz w:val="22"/>
          <w:szCs w:val="22"/>
          <w:lang w:val="kk-KZ"/>
        </w:rPr>
        <w:t xml:space="preserve">Қаржы нарығын реттеу және дамыту агенттігі (Агенттік) ҚРҰБ-мен өзара әрекет ете отырып қаржылық қадағалауды күшейту арқылы Covid дағдарысына қарсы іс-қимылда елеулі прогреске жетті. Бұдан әрі ол Қазақстандағы қаржылық реттеу және қадағалау жүйесін үздік халықаралық стандарттарға сәйкес келтіруде, сондай-ақ банктердегі бизнес-модельдер мен тәуекелдерді басқару жүйелерін нығайтуға жәрдемдесуде маңызды рөл атқаратын болады. Осы мақсатта </w:t>
      </w:r>
      <w:r w:rsidR="00646C55" w:rsidRPr="009B23B7">
        <w:rPr>
          <w:rFonts w:ascii="Segoe UI" w:hAnsi="Segoe UI" w:cs="Segoe UI"/>
          <w:sz w:val="22"/>
          <w:szCs w:val="22"/>
          <w:lang w:val="kk-KZ"/>
        </w:rPr>
        <w:t>А</w:t>
      </w:r>
      <w:r w:rsidR="00A723EE" w:rsidRPr="009B23B7">
        <w:rPr>
          <w:rFonts w:ascii="Segoe UI" w:hAnsi="Segoe UI" w:cs="Segoe UI"/>
          <w:sz w:val="22"/>
          <w:szCs w:val="22"/>
          <w:lang w:val="kk-KZ"/>
        </w:rPr>
        <w:t xml:space="preserve">генттіктің институционалдық әлеуеті мен тәуелсіздігін нығайту жөніндегі стратегияны іске асыруды </w:t>
      </w:r>
      <w:r w:rsidR="00723267">
        <w:rPr>
          <w:rFonts w:ascii="Segoe UI" w:hAnsi="Segoe UI" w:cs="Segoe UI"/>
          <w:sz w:val="22"/>
          <w:szCs w:val="22"/>
          <w:lang w:val="kk-KZ"/>
        </w:rPr>
        <w:t>жалғастыру</w:t>
      </w:r>
      <w:r w:rsidR="00A723EE" w:rsidRPr="009B23B7">
        <w:rPr>
          <w:rFonts w:ascii="Segoe UI" w:hAnsi="Segoe UI" w:cs="Segoe UI"/>
          <w:sz w:val="22"/>
          <w:szCs w:val="22"/>
          <w:lang w:val="kk-KZ"/>
        </w:rPr>
        <w:t xml:space="preserve"> аса маңызды болады. </w:t>
      </w:r>
    </w:p>
    <w:p w:rsidR="008B2D9C" w:rsidRPr="009B23B7" w:rsidRDefault="008B2D9C" w:rsidP="00CE5F25">
      <w:pPr>
        <w:rPr>
          <w:rFonts w:ascii="Segoe UI" w:hAnsi="Segoe UI" w:cs="Segoe UI"/>
          <w:b/>
          <w:sz w:val="22"/>
          <w:szCs w:val="22"/>
          <w:lang w:val="kk-KZ"/>
        </w:rPr>
      </w:pPr>
    </w:p>
    <w:p w:rsidR="00CE5F25" w:rsidRPr="009B23B7" w:rsidRDefault="003A7C93" w:rsidP="00CE5F25">
      <w:pPr>
        <w:rPr>
          <w:rFonts w:ascii="Segoe UI" w:hAnsi="Segoe UI" w:cs="Segoe UI"/>
          <w:b/>
          <w:sz w:val="22"/>
          <w:szCs w:val="22"/>
          <w:lang w:val="kk-KZ"/>
        </w:rPr>
      </w:pPr>
      <w:r w:rsidRPr="009B23B7">
        <w:rPr>
          <w:rFonts w:ascii="Segoe UI" w:hAnsi="Segoe UI" w:cs="Segoe UI"/>
          <w:b/>
          <w:sz w:val="22"/>
          <w:szCs w:val="22"/>
          <w:lang w:val="kk-KZ"/>
        </w:rPr>
        <w:t>Салық</w:t>
      </w:r>
      <w:r w:rsidR="00E65264" w:rsidRPr="009B23B7">
        <w:rPr>
          <w:rFonts w:ascii="Segoe UI" w:hAnsi="Segoe UI" w:cs="Segoe UI"/>
          <w:b/>
          <w:sz w:val="22"/>
          <w:szCs w:val="22"/>
          <w:lang w:val="kk-KZ"/>
        </w:rPr>
        <w:t>-бюджет</w:t>
      </w:r>
      <w:r w:rsidRPr="009B23B7">
        <w:rPr>
          <w:rFonts w:ascii="Segoe UI" w:hAnsi="Segoe UI" w:cs="Segoe UI"/>
          <w:b/>
          <w:sz w:val="22"/>
          <w:szCs w:val="22"/>
          <w:lang w:val="kk-KZ"/>
        </w:rPr>
        <w:t xml:space="preserve"> саясаты</w:t>
      </w:r>
    </w:p>
    <w:p w:rsidR="008B2D9C" w:rsidRPr="009B23B7" w:rsidRDefault="008B2D9C" w:rsidP="00CE5F25">
      <w:pPr>
        <w:rPr>
          <w:rFonts w:ascii="Segoe UI" w:hAnsi="Segoe UI" w:cs="Segoe UI"/>
          <w:b/>
          <w:sz w:val="22"/>
          <w:szCs w:val="22"/>
          <w:lang w:val="kk-KZ"/>
        </w:rPr>
      </w:pPr>
    </w:p>
    <w:p w:rsidR="006759DB" w:rsidRPr="009B23B7" w:rsidRDefault="00CE5F25" w:rsidP="00CE5F25">
      <w:pPr>
        <w:rPr>
          <w:rFonts w:ascii="Segoe UI" w:hAnsi="Segoe UI" w:cs="Segoe UI"/>
          <w:sz w:val="22"/>
          <w:szCs w:val="22"/>
          <w:lang w:val="kk-KZ"/>
        </w:rPr>
      </w:pPr>
      <w:r w:rsidRPr="009B23B7">
        <w:rPr>
          <w:rFonts w:ascii="Segoe UI" w:hAnsi="Segoe UI" w:cs="Segoe UI"/>
          <w:sz w:val="22"/>
          <w:szCs w:val="22"/>
          <w:lang w:val="kk-KZ"/>
        </w:rPr>
        <w:t>6.</w:t>
      </w:r>
      <w:r w:rsidRPr="009B23B7">
        <w:rPr>
          <w:rFonts w:ascii="Segoe UI" w:hAnsi="Segoe UI" w:cs="Segoe UI"/>
          <w:sz w:val="22"/>
          <w:szCs w:val="22"/>
          <w:lang w:val="kk-KZ"/>
        </w:rPr>
        <w:tab/>
      </w:r>
      <w:r w:rsidR="006759DB" w:rsidRPr="009B23B7">
        <w:rPr>
          <w:rFonts w:ascii="Segoe UI" w:hAnsi="Segoe UI" w:cs="Segoe UI"/>
          <w:sz w:val="22"/>
          <w:szCs w:val="22"/>
          <w:lang w:val="kk-KZ"/>
        </w:rPr>
        <w:t xml:space="preserve">Уәкілетті органдар Covid пандемиясына жауап ретінде контрциклдік салық-бюджет саясатын ұстанды. Миссия халықтың әл-ауқатын қорғау үшін ағымдағы жағдайларда қол жетімді бюджеттік резервтерді пайдалануды қолдайды. </w:t>
      </w:r>
      <w:r w:rsidR="006759DB" w:rsidRPr="009B23B7">
        <w:rPr>
          <w:rFonts w:ascii="Segoe UI" w:hAnsi="Segoe UI" w:cs="Segoe UI"/>
          <w:sz w:val="22"/>
          <w:szCs w:val="22"/>
          <w:lang w:val="kk-KZ"/>
        </w:rPr>
        <w:lastRenderedPageBreak/>
        <w:t xml:space="preserve">Мемлекеттік басқару секторының жалпы тапшылығы </w:t>
      </w:r>
      <w:r w:rsidR="002125A6">
        <w:rPr>
          <w:rFonts w:ascii="Segoe UI" w:hAnsi="Segoe UI" w:cs="Segoe UI"/>
          <w:sz w:val="22"/>
          <w:szCs w:val="22"/>
          <w:lang w:val="kk-KZ"/>
        </w:rPr>
        <w:t>(</w:t>
      </w:r>
      <w:r w:rsidR="002125A6" w:rsidRPr="002125A6">
        <w:rPr>
          <w:rFonts w:ascii="Segoe UI" w:hAnsi="Segoe UI" w:cs="Segoe UI"/>
          <w:sz w:val="22"/>
          <w:szCs w:val="22"/>
          <w:lang w:val="kk-KZ"/>
        </w:rPr>
        <w:t>жергілікті бюджеттерді және ҚРҰҚ</w:t>
      </w:r>
      <w:r w:rsidR="002125A6">
        <w:rPr>
          <w:rFonts w:ascii="Segoe UI" w:hAnsi="Segoe UI" w:cs="Segoe UI"/>
          <w:sz w:val="22"/>
          <w:szCs w:val="22"/>
          <w:lang w:val="kk-KZ"/>
        </w:rPr>
        <w:t>-ты</w:t>
      </w:r>
      <w:r w:rsidR="002125A6" w:rsidRPr="002125A6">
        <w:rPr>
          <w:rFonts w:ascii="Segoe UI" w:hAnsi="Segoe UI" w:cs="Segoe UI"/>
          <w:sz w:val="22"/>
          <w:szCs w:val="22"/>
          <w:lang w:val="kk-KZ"/>
        </w:rPr>
        <w:t xml:space="preserve"> қоса алғанда</w:t>
      </w:r>
      <w:r w:rsidR="002125A6">
        <w:rPr>
          <w:rFonts w:ascii="Segoe UI" w:hAnsi="Segoe UI" w:cs="Segoe UI"/>
          <w:sz w:val="22"/>
          <w:szCs w:val="22"/>
          <w:lang w:val="kk-KZ"/>
        </w:rPr>
        <w:t>)</w:t>
      </w:r>
      <w:r w:rsidR="002125A6" w:rsidRPr="002125A6">
        <w:rPr>
          <w:rFonts w:ascii="Segoe UI" w:hAnsi="Segoe UI" w:cs="Segoe UI"/>
          <w:sz w:val="22"/>
          <w:szCs w:val="22"/>
          <w:lang w:val="kk-KZ"/>
        </w:rPr>
        <w:t xml:space="preserve"> </w:t>
      </w:r>
      <w:r w:rsidR="006759DB" w:rsidRPr="009B23B7">
        <w:rPr>
          <w:rFonts w:ascii="Segoe UI" w:hAnsi="Segoe UI" w:cs="Segoe UI"/>
          <w:sz w:val="22"/>
          <w:szCs w:val="22"/>
          <w:lang w:val="kk-KZ"/>
        </w:rPr>
        <w:t>кірістер деңгейінің төмендеуін және денсаулық сақтауға қосымша шығыстарды, осал үй шаруашылықтарына ақшалай және заттай трансферттерді, сондай-ақ ШОК-ты және мейлінше көп зардап шеккен секторларды қолдауды көрсете отырып 2020 жылы ІЖӨ-нің 5½ пайызына дейін артады деп күтілуде.</w:t>
      </w:r>
      <w:r w:rsidR="006759DB" w:rsidRPr="009B23B7">
        <w:rPr>
          <w:lang w:val="kk-KZ"/>
        </w:rPr>
        <w:t xml:space="preserve"> </w:t>
      </w:r>
      <w:r w:rsidR="006759DB" w:rsidRPr="009B23B7">
        <w:rPr>
          <w:rFonts w:ascii="Segoe UI" w:hAnsi="Segoe UI" w:cs="Segoe UI"/>
          <w:sz w:val="22"/>
          <w:szCs w:val="22"/>
          <w:lang w:val="kk-KZ"/>
        </w:rPr>
        <w:t xml:space="preserve">2021 жылы салық-бюджет саясаты экономиканы қалпына келтіруді қолдау үшін бейімделгіш болып қалады деп күтіледі. Салық-бюджеттік ынталандыру 2019 жылдан бастап 2021 жылға дейінгі аралықтағы кезеңде мемлекеттік борышты ІЖӨ-нің 4 пайызына ұлғайтуға алып келеді.  Дегенмен, борыш деңгейі ҚРҰҚ-ның активтерінен айтарлықтай төмен болып қалуда. </w:t>
      </w:r>
    </w:p>
    <w:p w:rsidR="00C0234D" w:rsidRPr="009B23B7" w:rsidRDefault="00C0234D" w:rsidP="00CE5F25">
      <w:pPr>
        <w:rPr>
          <w:rFonts w:ascii="Segoe UI" w:hAnsi="Segoe UI" w:cs="Segoe UI"/>
          <w:sz w:val="22"/>
          <w:szCs w:val="22"/>
          <w:lang w:val="kk-KZ"/>
        </w:rPr>
      </w:pPr>
    </w:p>
    <w:p w:rsidR="008C6EE1" w:rsidRPr="009B23B7" w:rsidRDefault="00CE5F25" w:rsidP="00CE5F25">
      <w:pPr>
        <w:rPr>
          <w:rFonts w:ascii="Segoe UI" w:hAnsi="Segoe UI" w:cs="Segoe UI"/>
          <w:sz w:val="22"/>
          <w:szCs w:val="22"/>
          <w:lang w:val="kk-KZ"/>
        </w:rPr>
      </w:pPr>
      <w:r w:rsidRPr="009B23B7">
        <w:rPr>
          <w:rFonts w:ascii="Segoe UI" w:hAnsi="Segoe UI" w:cs="Segoe UI"/>
          <w:sz w:val="22"/>
          <w:szCs w:val="22"/>
          <w:lang w:val="kk-KZ"/>
        </w:rPr>
        <w:t xml:space="preserve">7. </w:t>
      </w:r>
      <w:r w:rsidRPr="009B23B7">
        <w:rPr>
          <w:rFonts w:ascii="Segoe UI" w:hAnsi="Segoe UI" w:cs="Segoe UI"/>
          <w:sz w:val="22"/>
          <w:szCs w:val="22"/>
          <w:lang w:val="kk-KZ"/>
        </w:rPr>
        <w:tab/>
      </w:r>
      <w:r w:rsidR="008C6EE1" w:rsidRPr="009B23B7">
        <w:rPr>
          <w:rFonts w:ascii="Segoe UI" w:hAnsi="Segoe UI" w:cs="Segoe UI"/>
          <w:sz w:val="22"/>
          <w:szCs w:val="22"/>
          <w:lang w:val="kk-KZ"/>
        </w:rPr>
        <w:t>Бюджеттік резервтерді қалпына келтіру орта мерзімді басым міндет болып табылады. Бюджетті шоғырландыру 2023 жылдан кейінгі кезеңде мұнай</w:t>
      </w:r>
      <w:r w:rsidR="00C6776F" w:rsidRPr="009B23B7">
        <w:rPr>
          <w:rFonts w:ascii="Segoe UI" w:hAnsi="Segoe UI" w:cs="Segoe UI"/>
          <w:sz w:val="22"/>
          <w:szCs w:val="22"/>
          <w:lang w:val="kk-KZ"/>
        </w:rPr>
        <w:t>ға жатпайтын</w:t>
      </w:r>
      <w:r w:rsidR="008C6EE1" w:rsidRPr="009B23B7">
        <w:rPr>
          <w:rFonts w:ascii="Segoe UI" w:hAnsi="Segoe UI" w:cs="Segoe UI"/>
          <w:sz w:val="22"/>
          <w:szCs w:val="22"/>
          <w:lang w:val="kk-KZ"/>
        </w:rPr>
        <w:t xml:space="preserve"> тапшылықты І</w:t>
      </w:r>
      <w:r w:rsidR="00C6776F" w:rsidRPr="009B23B7">
        <w:rPr>
          <w:rFonts w:ascii="Segoe UI" w:hAnsi="Segoe UI" w:cs="Segoe UI"/>
          <w:sz w:val="22"/>
          <w:szCs w:val="22"/>
          <w:lang w:val="kk-KZ"/>
        </w:rPr>
        <w:t>Ж</w:t>
      </w:r>
      <w:r w:rsidR="008C6EE1" w:rsidRPr="009B23B7">
        <w:rPr>
          <w:rFonts w:ascii="Segoe UI" w:hAnsi="Segoe UI" w:cs="Segoe UI"/>
          <w:sz w:val="22"/>
          <w:szCs w:val="22"/>
          <w:lang w:val="kk-KZ"/>
        </w:rPr>
        <w:t>Ө-нің 6 пайыз</w:t>
      </w:r>
      <w:r w:rsidR="00C6776F" w:rsidRPr="009B23B7">
        <w:rPr>
          <w:rFonts w:ascii="Segoe UI" w:hAnsi="Segoe UI" w:cs="Segoe UI"/>
          <w:sz w:val="22"/>
          <w:szCs w:val="22"/>
          <w:lang w:val="kk-KZ"/>
        </w:rPr>
        <w:t>ы</w:t>
      </w:r>
      <w:r w:rsidR="008C6EE1" w:rsidRPr="009B23B7">
        <w:rPr>
          <w:rFonts w:ascii="Segoe UI" w:hAnsi="Segoe UI" w:cs="Segoe UI"/>
          <w:sz w:val="22"/>
          <w:szCs w:val="22"/>
          <w:lang w:val="kk-KZ"/>
        </w:rPr>
        <w:t xml:space="preserve"> деңгейінен төмен </w:t>
      </w:r>
      <w:r w:rsidR="00C6776F" w:rsidRPr="009B23B7">
        <w:rPr>
          <w:rFonts w:ascii="Segoe UI" w:hAnsi="Segoe UI" w:cs="Segoe UI"/>
          <w:sz w:val="22"/>
          <w:szCs w:val="22"/>
          <w:lang w:val="kk-KZ"/>
        </w:rPr>
        <w:t>қысқарту</w:t>
      </w:r>
      <w:r w:rsidR="008C6EE1" w:rsidRPr="009B23B7">
        <w:rPr>
          <w:rFonts w:ascii="Segoe UI" w:hAnsi="Segoe UI" w:cs="Segoe UI"/>
          <w:sz w:val="22"/>
          <w:szCs w:val="22"/>
          <w:lang w:val="kk-KZ"/>
        </w:rPr>
        <w:t xml:space="preserve"> және </w:t>
      </w:r>
      <w:r w:rsidR="00C6776F" w:rsidRPr="009B23B7">
        <w:rPr>
          <w:rFonts w:ascii="Segoe UI" w:hAnsi="Segoe UI" w:cs="Segoe UI"/>
          <w:sz w:val="22"/>
          <w:szCs w:val="22"/>
          <w:lang w:val="kk-KZ"/>
        </w:rPr>
        <w:t>ұстап тұру</w:t>
      </w:r>
      <w:r w:rsidR="008C6EE1" w:rsidRPr="009B23B7">
        <w:rPr>
          <w:rFonts w:ascii="Segoe UI" w:hAnsi="Segoe UI" w:cs="Segoe UI"/>
          <w:sz w:val="22"/>
          <w:szCs w:val="22"/>
          <w:lang w:val="kk-KZ"/>
        </w:rPr>
        <w:t xml:space="preserve"> мақсатында 2022 жылы қайта басталады деп күтілуде. </w:t>
      </w:r>
      <w:r w:rsidR="00C6776F" w:rsidRPr="009B23B7">
        <w:rPr>
          <w:rFonts w:ascii="Segoe UI" w:hAnsi="Segoe UI" w:cs="Segoe UI"/>
          <w:sz w:val="22"/>
          <w:szCs w:val="22"/>
          <w:lang w:val="kk-KZ"/>
        </w:rPr>
        <w:t xml:space="preserve">Осы мақсатта уәкілетті органдар салықты әкімшілендіруді жақсарту есебінен, оның ішінде жаңа цифрлық технологияларды пайдалану арқылы мұнайға жатпайтын түсімдердің көлемін ұлғайту, сондай-ақ бюджеттік бағдарламалардың тиімділігін арттыру бойынша жұмыс жүргізуде. </w:t>
      </w:r>
      <w:r w:rsidR="00946161">
        <w:rPr>
          <w:rFonts w:ascii="Segoe UI" w:hAnsi="Segoe UI" w:cs="Segoe UI"/>
          <w:sz w:val="22"/>
          <w:szCs w:val="22"/>
          <w:lang w:val="kk-KZ"/>
        </w:rPr>
        <w:t>ХВҚ қызметкерлерінің м</w:t>
      </w:r>
      <w:r w:rsidR="00C6776F" w:rsidRPr="009B23B7">
        <w:rPr>
          <w:rFonts w:ascii="Segoe UI" w:hAnsi="Segoe UI" w:cs="Segoe UI"/>
          <w:sz w:val="22"/>
          <w:szCs w:val="22"/>
          <w:lang w:val="kk-KZ"/>
        </w:rPr>
        <w:t>иссия</w:t>
      </w:r>
      <w:r w:rsidR="00946161">
        <w:rPr>
          <w:rFonts w:ascii="Segoe UI" w:hAnsi="Segoe UI" w:cs="Segoe UI"/>
          <w:sz w:val="22"/>
          <w:szCs w:val="22"/>
          <w:lang w:val="kk-KZ"/>
        </w:rPr>
        <w:t>сы</w:t>
      </w:r>
      <w:r w:rsidR="00C6776F" w:rsidRPr="009B23B7">
        <w:rPr>
          <w:rFonts w:ascii="Segoe UI" w:hAnsi="Segoe UI" w:cs="Segoe UI"/>
          <w:sz w:val="22"/>
          <w:szCs w:val="22"/>
          <w:lang w:val="kk-KZ"/>
        </w:rPr>
        <w:t xml:space="preserve"> мұнайға жатпайтын түсімдер көлемінің өсуі және әділдікті қамтамасыз ету үшін, оның ішінде ҚҚС арттыру және прогрессивті табыс және мүлік салығын салуды енгізу есебінен салық реформалары үшін мүмкіндіктерді атап өтеді. Бұл реформалар жақсы дайындалып, бейресми экономиканы қысқарту жөніндегі шаралармен қатар жүргізілуге тиіс. </w:t>
      </w:r>
    </w:p>
    <w:p w:rsidR="001E2900" w:rsidRPr="009B23B7" w:rsidRDefault="001E2900" w:rsidP="00CE5F25">
      <w:pPr>
        <w:rPr>
          <w:rFonts w:ascii="Segoe UI" w:hAnsi="Segoe UI" w:cs="Segoe UI"/>
          <w:sz w:val="22"/>
          <w:szCs w:val="22"/>
          <w:lang w:val="kk-KZ"/>
        </w:rPr>
      </w:pPr>
    </w:p>
    <w:p w:rsidR="00752F5C" w:rsidRPr="009B23B7" w:rsidRDefault="00CE5F25" w:rsidP="00752F5C">
      <w:pPr>
        <w:rPr>
          <w:rFonts w:ascii="Segoe UI" w:hAnsi="Segoe UI" w:cs="Segoe UI"/>
          <w:sz w:val="22"/>
          <w:szCs w:val="22"/>
          <w:lang w:val="kk-KZ"/>
        </w:rPr>
      </w:pPr>
      <w:r w:rsidRPr="009B23B7">
        <w:rPr>
          <w:rFonts w:ascii="Segoe UI" w:hAnsi="Segoe UI" w:cs="Segoe UI"/>
          <w:sz w:val="22"/>
          <w:szCs w:val="22"/>
          <w:lang w:val="kk-KZ"/>
        </w:rPr>
        <w:t xml:space="preserve">8. </w:t>
      </w:r>
      <w:r w:rsidRPr="009B23B7">
        <w:rPr>
          <w:rFonts w:ascii="Segoe UI" w:hAnsi="Segoe UI" w:cs="Segoe UI"/>
          <w:sz w:val="22"/>
          <w:szCs w:val="22"/>
          <w:lang w:val="kk-KZ"/>
        </w:rPr>
        <w:tab/>
      </w:r>
      <w:r w:rsidR="00752F5C" w:rsidRPr="009B23B7">
        <w:rPr>
          <w:rFonts w:ascii="Segoe UI" w:hAnsi="Segoe UI" w:cs="Segoe UI"/>
          <w:sz w:val="22"/>
          <w:szCs w:val="22"/>
          <w:lang w:val="kk-KZ"/>
        </w:rPr>
        <w:t>ХВҚ қызметкерлерінің миссиясы уәкілетті органдардың салық-бюджет саласын және бюджет тәуекелдерін басқару тәсілдерін одан әрі нығайту жөніндегі  жоспарын мақұлдауда. Қазіргі кезде ҚРҰҚ қаражатын пайдалану қағидаларын жетілдіру және мемлекеттік шығыстар үшін контрциклдық тетіктерді енгізу бойынша күш-жігер қолдануда. Уәкілетті органдар да 2022 жылдың бюджетіне енгізу үшін негізгі макроэкономикалық және ұзақ мерзімді, оның ішінде квазимемлекеттік сектор жағынан тәуекелдерді қамтитын бюджет тәуекелдері туралы есепті дайындау бойынша жұмыс жүргізуде. Мисссия тиімді салық-бюджет жүйесі тиісті түрдегі қаржылық айқындылық пен мемлекетті қаржыны басқару тетіктеріне негізделетінін атады.</w:t>
      </w:r>
    </w:p>
    <w:p w:rsidR="00752F5C" w:rsidRPr="009B23B7" w:rsidRDefault="00752F5C" w:rsidP="00752F5C">
      <w:pPr>
        <w:rPr>
          <w:rFonts w:ascii="Segoe UI" w:hAnsi="Segoe UI" w:cs="Segoe UI"/>
          <w:b/>
          <w:sz w:val="22"/>
          <w:szCs w:val="22"/>
          <w:lang w:val="kk-KZ"/>
        </w:rPr>
      </w:pPr>
    </w:p>
    <w:p w:rsidR="00752F5C" w:rsidRPr="009B23B7" w:rsidRDefault="00752F5C" w:rsidP="00752F5C">
      <w:pPr>
        <w:rPr>
          <w:rFonts w:ascii="Segoe UI" w:hAnsi="Segoe UI" w:cs="Segoe UI"/>
          <w:b/>
          <w:sz w:val="22"/>
          <w:szCs w:val="22"/>
          <w:lang w:val="kk-KZ"/>
        </w:rPr>
      </w:pPr>
      <w:r w:rsidRPr="009B23B7">
        <w:rPr>
          <w:rFonts w:ascii="Segoe UI" w:hAnsi="Segoe UI" w:cs="Segoe UI"/>
          <w:b/>
          <w:sz w:val="22"/>
          <w:szCs w:val="22"/>
          <w:lang w:val="kk-KZ"/>
        </w:rPr>
        <w:t>Құрылымдық реформалар</w:t>
      </w:r>
    </w:p>
    <w:p w:rsidR="00752F5C" w:rsidRPr="009B23B7" w:rsidRDefault="00752F5C" w:rsidP="00752F5C">
      <w:pPr>
        <w:rPr>
          <w:rFonts w:ascii="Segoe UI" w:hAnsi="Segoe UI" w:cs="Segoe UI"/>
          <w:b/>
          <w:sz w:val="22"/>
          <w:szCs w:val="22"/>
          <w:lang w:val="kk-KZ"/>
        </w:rPr>
      </w:pPr>
    </w:p>
    <w:p w:rsidR="00752F5C" w:rsidRPr="009B23B7" w:rsidRDefault="00752F5C" w:rsidP="00752F5C">
      <w:pPr>
        <w:rPr>
          <w:rFonts w:ascii="Segoe UI" w:hAnsi="Segoe UI" w:cs="Segoe UI"/>
          <w:sz w:val="22"/>
          <w:szCs w:val="22"/>
          <w:lang w:val="kk-KZ"/>
        </w:rPr>
      </w:pPr>
      <w:r w:rsidRPr="009B23B7">
        <w:rPr>
          <w:rFonts w:ascii="Segoe UI" w:hAnsi="Segoe UI" w:cs="Segoe UI"/>
          <w:sz w:val="22"/>
          <w:szCs w:val="22"/>
          <w:lang w:val="kk-KZ"/>
        </w:rPr>
        <w:t xml:space="preserve">9. </w:t>
      </w:r>
      <w:r w:rsidRPr="009B23B7">
        <w:rPr>
          <w:rFonts w:ascii="Segoe UI" w:hAnsi="Segoe UI" w:cs="Segoe UI"/>
          <w:sz w:val="22"/>
          <w:szCs w:val="22"/>
          <w:lang w:val="kk-KZ"/>
        </w:rPr>
        <w:tab/>
        <w:t xml:space="preserve">Covid пандемиясынан кейін қалпына келу және кейіннен орнықты және инклюзивті өсімді қамтамасыз ету құрылымдық реформаларды жүргізуде тұрақты прогресті талап етеді. Миссия мыналарды: бәсекелестікті арттыруды, мемлекеттің экономикаға қатысуын азайтуды, өндірмейтін салаларды дамытуды, мемлекеттік басқарудың тиімділігін арттыруды, басқару институттарын нығайтуды және денсаулық сақтау мен білім беру жүйелерін жетілдіруді қоса алғанда, уәкілетті органдар дамудың жаңа стратегиясында айқындаған басым салаларды қолдайды. Алайда осы реформалардың қарқынына Covid дағдарысы әсер етуі мүмкін болса да, соңғы жылдары қолжеткізген жетістіктерді сақтау және реформалар қарқынын қолдау маңызды болып қалуда.  Атап айтқанда, мұнайгаз, телекоммуникация,  авиация, энергетика және теміржол секторларындағы компанияларды </w:t>
      </w:r>
      <w:r w:rsidRPr="009B23B7">
        <w:rPr>
          <w:rFonts w:ascii="Segoe UI" w:hAnsi="Segoe UI" w:cs="Segoe UI"/>
          <w:sz w:val="22"/>
          <w:szCs w:val="22"/>
          <w:lang w:val="kk-KZ"/>
        </w:rPr>
        <w:lastRenderedPageBreak/>
        <w:t xml:space="preserve">жекешелендіруде одан әрі ілгерілеу  өте маңызды. Сонымен қоса, миссия уәкілетті органдардың жаңа цифрлық технологияларды енгізу және экологиялық проблемаларды шешу жөніндегі жоспарларын қолдайды, олар келешекте экономикалық өсім мен жұмыс орындарын құру үшін жаңа мүмкіндіктер аша алады. </w:t>
      </w:r>
    </w:p>
    <w:p w:rsidR="00752F5C" w:rsidRPr="009B23B7" w:rsidRDefault="00752F5C" w:rsidP="00752F5C">
      <w:pPr>
        <w:rPr>
          <w:rFonts w:ascii="Segoe UI" w:hAnsi="Segoe UI" w:cs="Segoe UI"/>
          <w:b/>
          <w:sz w:val="22"/>
          <w:szCs w:val="22"/>
          <w:lang w:val="kk-KZ"/>
        </w:rPr>
      </w:pPr>
    </w:p>
    <w:p w:rsidR="00752F5C" w:rsidRPr="009B23B7" w:rsidRDefault="00752F5C" w:rsidP="00752F5C">
      <w:pPr>
        <w:rPr>
          <w:rFonts w:ascii="Segoe UI" w:hAnsi="Segoe UI" w:cs="Segoe UI"/>
          <w:b/>
          <w:sz w:val="22"/>
          <w:szCs w:val="22"/>
          <w:lang w:val="kk-KZ"/>
        </w:rPr>
      </w:pPr>
      <w:r w:rsidRPr="009B23B7">
        <w:rPr>
          <w:rFonts w:ascii="Segoe UI" w:hAnsi="Segoe UI" w:cs="Segoe UI"/>
          <w:b/>
          <w:sz w:val="22"/>
          <w:szCs w:val="22"/>
          <w:lang w:val="kk-KZ"/>
        </w:rPr>
        <w:t>Қорытынды ережелер</w:t>
      </w:r>
    </w:p>
    <w:p w:rsidR="00752F5C" w:rsidRPr="009B23B7" w:rsidRDefault="00752F5C" w:rsidP="00752F5C">
      <w:pPr>
        <w:rPr>
          <w:rFonts w:ascii="Segoe UI" w:hAnsi="Segoe UI" w:cs="Segoe UI"/>
          <w:b/>
          <w:sz w:val="22"/>
          <w:szCs w:val="22"/>
          <w:lang w:val="kk-KZ"/>
        </w:rPr>
      </w:pPr>
    </w:p>
    <w:p w:rsidR="00752F5C" w:rsidRPr="009B23B7" w:rsidRDefault="00752F5C" w:rsidP="00752F5C">
      <w:pPr>
        <w:rPr>
          <w:rFonts w:ascii="Segoe UI" w:hAnsi="Segoe UI" w:cs="Segoe UI"/>
          <w:sz w:val="22"/>
          <w:szCs w:val="22"/>
          <w:lang w:val="kk-KZ"/>
        </w:rPr>
      </w:pPr>
      <w:r w:rsidRPr="009B23B7">
        <w:rPr>
          <w:rFonts w:ascii="Segoe UI" w:hAnsi="Segoe UI" w:cs="Segoe UI"/>
          <w:sz w:val="22"/>
          <w:szCs w:val="22"/>
          <w:lang w:val="kk-KZ"/>
        </w:rPr>
        <w:t xml:space="preserve">10. </w:t>
      </w:r>
      <w:r w:rsidRPr="009B23B7">
        <w:rPr>
          <w:rFonts w:ascii="Segoe UI" w:hAnsi="Segoe UI" w:cs="Segoe UI"/>
          <w:sz w:val="22"/>
          <w:szCs w:val="22"/>
          <w:lang w:val="kk-KZ"/>
        </w:rPr>
        <w:tab/>
        <w:t>ХВҚ қызметкерлерінің миссиясы мемлекеттік саясат шеңберінде уәкілетті органдар тарапынан пандемияға ден қою шараларына жоғары баға береді және олардың дағдарыстан кейінгі кезеңде барынша орнықты және инклюзивті өсуге ұстанымдарын түгелдей қолдайды. 2020 жылға арналған бюджетті нақтылау және жалғасып келе жатқан дағдарысқа қарсы шаралар осал үй шаруашылықтарына және кәсіпорындарға өте маңызды көмекті қамтамасыз етеді. Келешекті болжай отырып, дамыған жеке сектордың пайда болуын, экономикалық өсімді және жұмыс орындарын құруды тежейтін негізгі құрылымдық шектеулерді жою үшін одан әрі күш-жігер де қажет. Оларды іске асыру макроэкономикалық тұрақтылықты сақтау және мемлекеттік саясат пен институттарды нығайту бойынша қабылданған шараларды күшейтеді. ХВҚ ағымдағы негізде бұдан әрі де саясат мәселелері бойынша консультациялар ұсынуға және саясаттың жоғарыда қарастырылған барлық маңызды салаларында техникалық көмекті кеңейтуге дайын.</w:t>
      </w:r>
    </w:p>
    <w:p w:rsidR="00752F5C" w:rsidRPr="009B23B7" w:rsidRDefault="00752F5C" w:rsidP="00752F5C">
      <w:pPr>
        <w:rPr>
          <w:rFonts w:ascii="Segoe UI" w:hAnsi="Segoe UI" w:cs="Segoe UI"/>
          <w:sz w:val="22"/>
          <w:szCs w:val="22"/>
          <w:lang w:val="kk-KZ"/>
        </w:rPr>
      </w:pPr>
      <w:r w:rsidRPr="009B23B7">
        <w:rPr>
          <w:rFonts w:ascii="Segoe UI" w:hAnsi="Segoe UI" w:cs="Segoe UI"/>
          <w:sz w:val="22"/>
          <w:szCs w:val="22"/>
          <w:lang w:val="kk-KZ"/>
        </w:rPr>
        <w:t xml:space="preserve">11. </w:t>
      </w:r>
      <w:r w:rsidRPr="009B23B7">
        <w:rPr>
          <w:rFonts w:ascii="Segoe UI" w:hAnsi="Segoe UI" w:cs="Segoe UI"/>
          <w:sz w:val="22"/>
          <w:szCs w:val="22"/>
          <w:lang w:val="kk-KZ"/>
        </w:rPr>
        <w:tab/>
        <w:t xml:space="preserve">Миссия IV бап бойынша 2021 жылғы консультацияларды Covid пандемиясынан кейін қалпына келуге бағытталған саясатқа назар аударып, 2021 жылғы көктемде өткізуді ұсынады. Талқылаулар салық-бюджет жүйесінің және салық саясатының, ақша-кредит және бағам саясаты жүйелерінің жұмыс істеп тұруының, қаржы саласындағы реттеу мен қадағалаудың, сондай-ақ экономикалық әртараптандыру мен орнықты инклюзивті өсімге жәрдемдесуге арналған құрылымдық реформалардың мәселелеріне арналуы мүмкін. </w:t>
      </w:r>
    </w:p>
    <w:p w:rsidR="00752F5C" w:rsidRPr="009B23B7" w:rsidRDefault="00752F5C" w:rsidP="00752F5C">
      <w:pPr>
        <w:rPr>
          <w:rFonts w:ascii="Segoe UI" w:hAnsi="Segoe UI" w:cs="Segoe UI"/>
          <w:sz w:val="22"/>
          <w:szCs w:val="22"/>
          <w:lang w:val="kk-KZ"/>
        </w:rPr>
      </w:pPr>
    </w:p>
    <w:p w:rsidR="00752F5C" w:rsidRPr="009B23B7" w:rsidRDefault="00752F5C" w:rsidP="00752F5C">
      <w:pPr>
        <w:pStyle w:val="ParagraphNumbering"/>
        <w:numPr>
          <w:ilvl w:val="0"/>
          <w:numId w:val="0"/>
        </w:numPr>
        <w:rPr>
          <w:rFonts w:ascii="Segoe UI" w:hAnsi="Segoe UI" w:cs="Segoe UI"/>
          <w:sz w:val="22"/>
          <w:szCs w:val="22"/>
          <w:lang w:val="kk-KZ"/>
        </w:rPr>
      </w:pPr>
    </w:p>
    <w:p w:rsidR="00752F5C" w:rsidRPr="009B23B7" w:rsidRDefault="00752F5C" w:rsidP="00752F5C">
      <w:pPr>
        <w:pStyle w:val="ParagraphNumbering"/>
        <w:numPr>
          <w:ilvl w:val="0"/>
          <w:numId w:val="0"/>
        </w:numPr>
        <w:rPr>
          <w:rFonts w:ascii="Segoe UI" w:hAnsi="Segoe UI" w:cs="Segoe UI"/>
          <w:sz w:val="22"/>
          <w:szCs w:val="22"/>
          <w:lang w:val="kk-KZ"/>
        </w:rPr>
      </w:pPr>
    </w:p>
    <w:p w:rsidR="00752F5C" w:rsidRPr="009B23B7" w:rsidRDefault="00752F5C" w:rsidP="00752F5C">
      <w:pPr>
        <w:pStyle w:val="ParagraphNumbering"/>
        <w:numPr>
          <w:ilvl w:val="0"/>
          <w:numId w:val="0"/>
        </w:numPr>
        <w:rPr>
          <w:rFonts w:ascii="Segoe UI" w:hAnsi="Segoe UI" w:cs="Segoe UI"/>
          <w:sz w:val="22"/>
          <w:szCs w:val="22"/>
          <w:lang w:val="kk-KZ"/>
        </w:rPr>
      </w:pPr>
    </w:p>
    <w:p w:rsidR="00752F5C" w:rsidRPr="009B23B7" w:rsidRDefault="00752F5C" w:rsidP="00752F5C">
      <w:pPr>
        <w:pStyle w:val="ParagraphNumbering"/>
        <w:numPr>
          <w:ilvl w:val="0"/>
          <w:numId w:val="0"/>
        </w:numPr>
        <w:rPr>
          <w:rFonts w:ascii="Segoe UI" w:hAnsi="Segoe UI" w:cs="Segoe UI"/>
          <w:sz w:val="22"/>
          <w:szCs w:val="22"/>
          <w:lang w:val="kk-KZ"/>
        </w:rPr>
      </w:pPr>
    </w:p>
    <w:p w:rsidR="00752F5C" w:rsidRPr="009B23B7" w:rsidRDefault="00752F5C" w:rsidP="00752F5C">
      <w:pPr>
        <w:pStyle w:val="ParagraphNumbering"/>
        <w:numPr>
          <w:ilvl w:val="0"/>
          <w:numId w:val="0"/>
        </w:numPr>
        <w:rPr>
          <w:rFonts w:ascii="Segoe UI" w:hAnsi="Segoe UI" w:cs="Segoe UI"/>
          <w:sz w:val="22"/>
          <w:szCs w:val="22"/>
          <w:lang w:val="kk-KZ"/>
        </w:rPr>
      </w:pPr>
    </w:p>
    <w:p w:rsidR="00752F5C" w:rsidRPr="009B23B7" w:rsidRDefault="00752F5C" w:rsidP="00752F5C">
      <w:pPr>
        <w:pStyle w:val="ParagraphNumbering"/>
        <w:numPr>
          <w:ilvl w:val="0"/>
          <w:numId w:val="0"/>
        </w:numPr>
        <w:rPr>
          <w:rFonts w:ascii="Segoe UI" w:hAnsi="Segoe UI" w:cs="Segoe UI"/>
          <w:sz w:val="22"/>
          <w:szCs w:val="22"/>
          <w:lang w:val="kk-KZ"/>
        </w:rPr>
      </w:pPr>
    </w:p>
    <w:p w:rsidR="00752F5C" w:rsidRPr="009B23B7" w:rsidRDefault="00752F5C" w:rsidP="00752F5C">
      <w:pPr>
        <w:pStyle w:val="ParagraphNumbering"/>
        <w:numPr>
          <w:ilvl w:val="0"/>
          <w:numId w:val="0"/>
        </w:numPr>
        <w:rPr>
          <w:rFonts w:ascii="Segoe UI" w:hAnsi="Segoe UI" w:cs="Segoe UI"/>
          <w:sz w:val="22"/>
          <w:szCs w:val="22"/>
          <w:lang w:val="kk-KZ"/>
        </w:rPr>
      </w:pPr>
    </w:p>
    <w:tbl>
      <w:tblPr>
        <w:tblW w:w="10074" w:type="dxa"/>
        <w:tblInd w:w="-540" w:type="dxa"/>
        <w:tblLook w:val="04A0" w:firstRow="1" w:lastRow="0" w:firstColumn="1" w:lastColumn="0" w:noHBand="0" w:noVBand="1"/>
      </w:tblPr>
      <w:tblGrid>
        <w:gridCol w:w="6030"/>
        <w:gridCol w:w="691"/>
        <w:gridCol w:w="29"/>
        <w:gridCol w:w="710"/>
        <w:gridCol w:w="10"/>
        <w:gridCol w:w="868"/>
        <w:gridCol w:w="22"/>
        <w:gridCol w:w="846"/>
        <w:gridCol w:w="39"/>
        <w:gridCol w:w="829"/>
      </w:tblGrid>
      <w:tr w:rsidR="00752F5C" w:rsidRPr="009B23B7" w:rsidTr="00592457">
        <w:trPr>
          <w:trHeight w:val="450"/>
        </w:trPr>
        <w:tc>
          <w:tcPr>
            <w:tcW w:w="10074" w:type="dxa"/>
            <w:gridSpan w:val="10"/>
            <w:tcBorders>
              <w:top w:val="nil"/>
              <w:left w:val="nil"/>
              <w:bottom w:val="nil"/>
              <w:right w:val="nil"/>
            </w:tcBorders>
            <w:shd w:val="clear" w:color="000000" w:fill="FFFFFF"/>
            <w:noWrap/>
            <w:vAlign w:val="bottom"/>
            <w:hideMark/>
          </w:tcPr>
          <w:p w:rsidR="00752F5C" w:rsidRPr="009B23B7" w:rsidRDefault="00752F5C" w:rsidP="00567EAE">
            <w:pPr>
              <w:jc w:val="both"/>
              <w:rPr>
                <w:rFonts w:ascii="Segoe UI" w:hAnsi="Segoe UI" w:cs="Segoe UI"/>
                <w:b/>
                <w:bCs/>
                <w:color w:val="4B82AD"/>
                <w:sz w:val="21"/>
                <w:szCs w:val="21"/>
                <w:lang w:val="kk-KZ" w:eastAsia="zh-CN"/>
              </w:rPr>
            </w:pPr>
          </w:p>
          <w:p w:rsidR="00752F5C" w:rsidRPr="009B23B7" w:rsidRDefault="00752F5C" w:rsidP="00567EAE">
            <w:pPr>
              <w:jc w:val="both"/>
              <w:rPr>
                <w:rFonts w:ascii="Segoe UI" w:hAnsi="Segoe UI" w:cs="Segoe UI"/>
                <w:b/>
                <w:bCs/>
                <w:color w:val="4B82AD"/>
                <w:sz w:val="21"/>
                <w:szCs w:val="21"/>
                <w:lang w:val="kk-KZ" w:eastAsia="zh-CN"/>
              </w:rPr>
            </w:pPr>
          </w:p>
          <w:p w:rsidR="00752F5C" w:rsidRPr="009B23B7" w:rsidRDefault="00752F5C" w:rsidP="00567EAE">
            <w:pPr>
              <w:jc w:val="both"/>
              <w:rPr>
                <w:rFonts w:ascii="Segoe UI" w:hAnsi="Segoe UI" w:cs="Segoe UI"/>
                <w:b/>
                <w:bCs/>
                <w:color w:val="4B82AD"/>
                <w:sz w:val="21"/>
                <w:szCs w:val="21"/>
                <w:lang w:val="kk-KZ" w:eastAsia="zh-CN"/>
              </w:rPr>
            </w:pPr>
          </w:p>
          <w:p w:rsidR="00752F5C" w:rsidRPr="009B23B7" w:rsidRDefault="00752F5C" w:rsidP="00567EAE">
            <w:pPr>
              <w:jc w:val="both"/>
              <w:rPr>
                <w:rFonts w:ascii="Segoe UI" w:hAnsi="Segoe UI" w:cs="Segoe UI"/>
                <w:b/>
                <w:bCs/>
                <w:color w:val="4B82AD"/>
                <w:sz w:val="21"/>
                <w:szCs w:val="21"/>
                <w:lang w:val="kk-KZ" w:eastAsia="zh-CN"/>
              </w:rPr>
            </w:pPr>
          </w:p>
          <w:p w:rsidR="00752F5C" w:rsidRPr="009B23B7" w:rsidRDefault="00752F5C" w:rsidP="00567EAE">
            <w:pPr>
              <w:jc w:val="both"/>
              <w:rPr>
                <w:rFonts w:ascii="Segoe UI" w:hAnsi="Segoe UI" w:cs="Segoe UI"/>
                <w:b/>
                <w:bCs/>
                <w:color w:val="4B82AD"/>
                <w:sz w:val="21"/>
                <w:szCs w:val="21"/>
                <w:lang w:val="kk-KZ" w:eastAsia="zh-CN"/>
              </w:rPr>
            </w:pPr>
          </w:p>
          <w:p w:rsidR="00752F5C" w:rsidRPr="009B23B7" w:rsidRDefault="00752F5C" w:rsidP="00567EAE">
            <w:pPr>
              <w:jc w:val="both"/>
              <w:rPr>
                <w:rFonts w:ascii="Segoe UI" w:hAnsi="Segoe UI" w:cs="Segoe UI"/>
                <w:b/>
                <w:bCs/>
                <w:color w:val="4B82AD"/>
                <w:sz w:val="21"/>
                <w:szCs w:val="21"/>
                <w:lang w:val="kk-KZ" w:eastAsia="zh-CN"/>
              </w:rPr>
            </w:pPr>
          </w:p>
          <w:p w:rsidR="00752F5C" w:rsidRPr="009B23B7" w:rsidRDefault="00752F5C" w:rsidP="00567EAE">
            <w:pPr>
              <w:jc w:val="both"/>
              <w:rPr>
                <w:rFonts w:ascii="Segoe UI" w:hAnsi="Segoe UI" w:cs="Segoe UI"/>
                <w:b/>
                <w:bCs/>
                <w:color w:val="4B82AD"/>
                <w:sz w:val="21"/>
                <w:szCs w:val="21"/>
                <w:lang w:val="kk-KZ" w:eastAsia="zh-CN"/>
              </w:rPr>
            </w:pPr>
          </w:p>
          <w:p w:rsidR="00752F5C" w:rsidRPr="009B23B7" w:rsidRDefault="00752F5C" w:rsidP="00567EAE">
            <w:pPr>
              <w:jc w:val="both"/>
              <w:rPr>
                <w:rFonts w:ascii="Segoe UI" w:hAnsi="Segoe UI" w:cs="Segoe UI"/>
                <w:b/>
                <w:bCs/>
                <w:color w:val="4B82AD"/>
                <w:sz w:val="21"/>
                <w:szCs w:val="21"/>
                <w:lang w:val="kk-KZ" w:eastAsia="zh-CN"/>
              </w:rPr>
            </w:pPr>
          </w:p>
          <w:p w:rsidR="00752F5C" w:rsidRPr="009B23B7" w:rsidRDefault="00752F5C" w:rsidP="00567EAE">
            <w:pPr>
              <w:jc w:val="both"/>
              <w:rPr>
                <w:rFonts w:ascii="Segoe UI" w:hAnsi="Segoe UI" w:cs="Segoe UI"/>
                <w:b/>
                <w:bCs/>
                <w:color w:val="4B82AD"/>
                <w:sz w:val="21"/>
                <w:szCs w:val="21"/>
                <w:lang w:val="kk-KZ" w:eastAsia="zh-CN"/>
              </w:rPr>
            </w:pPr>
            <w:r w:rsidRPr="009B23B7">
              <w:rPr>
                <w:rFonts w:ascii="Segoe UI" w:hAnsi="Segoe UI" w:cs="Segoe UI"/>
                <w:b/>
                <w:bCs/>
                <w:color w:val="4B82AD"/>
                <w:sz w:val="21"/>
                <w:szCs w:val="21"/>
                <w:lang w:val="kk-KZ" w:eastAsia="zh-CN"/>
              </w:rPr>
              <w:lastRenderedPageBreak/>
              <w:t>Қазақстан: жекелеген экономикалық көрсеткіштер, 2018-22 жж.</w:t>
            </w:r>
          </w:p>
        </w:tc>
      </w:tr>
      <w:tr w:rsidR="00752F5C" w:rsidRPr="009B23B7" w:rsidTr="00592457">
        <w:trPr>
          <w:trHeight w:val="102"/>
        </w:trPr>
        <w:tc>
          <w:tcPr>
            <w:tcW w:w="6030" w:type="dxa"/>
            <w:tcBorders>
              <w:top w:val="nil"/>
              <w:left w:val="nil"/>
              <w:bottom w:val="single" w:sz="4" w:space="0" w:color="auto"/>
              <w:right w:val="nil"/>
            </w:tcBorders>
            <w:shd w:val="clear" w:color="000000" w:fill="FFFFFF"/>
            <w:noWrap/>
            <w:vAlign w:val="bottom"/>
            <w:hideMark/>
          </w:tcPr>
          <w:p w:rsidR="00752F5C" w:rsidRPr="009B23B7" w:rsidRDefault="00752F5C" w:rsidP="00567EAE">
            <w:pPr>
              <w:jc w:val="both"/>
              <w:rPr>
                <w:rFonts w:ascii="Segoe UI" w:hAnsi="Segoe UI" w:cs="Segoe UI"/>
                <w:sz w:val="20"/>
                <w:lang w:val="kk-KZ" w:eastAsia="zh-CN"/>
              </w:rPr>
            </w:pPr>
            <w:r w:rsidRPr="009B23B7">
              <w:rPr>
                <w:rFonts w:ascii="Segoe UI" w:hAnsi="Segoe UI" w:cs="Segoe UI"/>
                <w:sz w:val="20"/>
                <w:lang w:val="kk-KZ" w:eastAsia="zh-CN"/>
              </w:rPr>
              <w:lastRenderedPageBreak/>
              <w:t> </w:t>
            </w:r>
          </w:p>
        </w:tc>
        <w:tc>
          <w:tcPr>
            <w:tcW w:w="691" w:type="dxa"/>
            <w:tcBorders>
              <w:top w:val="nil"/>
              <w:left w:val="nil"/>
              <w:bottom w:val="single" w:sz="4" w:space="0" w:color="auto"/>
              <w:right w:val="nil"/>
            </w:tcBorders>
            <w:shd w:val="clear" w:color="000000" w:fill="FFFFFF"/>
            <w:noWrap/>
            <w:vAlign w:val="bottom"/>
            <w:hideMark/>
          </w:tcPr>
          <w:p w:rsidR="00752F5C" w:rsidRPr="009B23B7" w:rsidRDefault="00752F5C" w:rsidP="00567EAE">
            <w:pPr>
              <w:jc w:val="both"/>
              <w:rPr>
                <w:rFonts w:ascii="Segoe UI" w:hAnsi="Segoe UI" w:cs="Segoe UI"/>
                <w:color w:val="FF0000"/>
                <w:sz w:val="20"/>
                <w:lang w:val="kk-KZ" w:eastAsia="zh-CN"/>
              </w:rPr>
            </w:pPr>
            <w:r w:rsidRPr="009B23B7">
              <w:rPr>
                <w:rFonts w:ascii="Segoe UI" w:hAnsi="Segoe UI" w:cs="Segoe UI"/>
                <w:color w:val="FF0000"/>
                <w:sz w:val="20"/>
                <w:lang w:val="kk-KZ" w:eastAsia="zh-CN"/>
              </w:rPr>
              <w:t> </w:t>
            </w:r>
          </w:p>
        </w:tc>
        <w:tc>
          <w:tcPr>
            <w:tcW w:w="739" w:type="dxa"/>
            <w:gridSpan w:val="2"/>
            <w:tcBorders>
              <w:top w:val="nil"/>
              <w:left w:val="nil"/>
              <w:bottom w:val="single" w:sz="4" w:space="0" w:color="auto"/>
              <w:right w:val="nil"/>
            </w:tcBorders>
            <w:shd w:val="clear" w:color="000000" w:fill="FFFFFF"/>
            <w:noWrap/>
            <w:vAlign w:val="bottom"/>
            <w:hideMark/>
          </w:tcPr>
          <w:p w:rsidR="00752F5C" w:rsidRPr="009B23B7" w:rsidRDefault="00752F5C" w:rsidP="00567EAE">
            <w:pPr>
              <w:jc w:val="both"/>
              <w:rPr>
                <w:rFonts w:ascii="Segoe UI" w:hAnsi="Segoe UI" w:cs="Segoe UI"/>
                <w:color w:val="FF0000"/>
                <w:sz w:val="20"/>
                <w:lang w:val="kk-KZ" w:eastAsia="zh-CN"/>
              </w:rPr>
            </w:pPr>
            <w:r w:rsidRPr="009B23B7">
              <w:rPr>
                <w:rFonts w:ascii="Segoe UI" w:hAnsi="Segoe UI" w:cs="Segoe UI"/>
                <w:color w:val="FF0000"/>
                <w:sz w:val="20"/>
                <w:lang w:val="kk-KZ" w:eastAsia="zh-CN"/>
              </w:rPr>
              <w:t> </w:t>
            </w:r>
          </w:p>
        </w:tc>
        <w:tc>
          <w:tcPr>
            <w:tcW w:w="900" w:type="dxa"/>
            <w:gridSpan w:val="3"/>
            <w:tcBorders>
              <w:top w:val="nil"/>
              <w:left w:val="nil"/>
              <w:bottom w:val="single" w:sz="4" w:space="0" w:color="auto"/>
              <w:right w:val="nil"/>
            </w:tcBorders>
            <w:shd w:val="clear" w:color="000000" w:fill="FFFFFF"/>
            <w:noWrap/>
            <w:vAlign w:val="bottom"/>
            <w:hideMark/>
          </w:tcPr>
          <w:p w:rsidR="00752F5C" w:rsidRPr="009B23B7" w:rsidRDefault="00752F5C" w:rsidP="00567EAE">
            <w:pPr>
              <w:jc w:val="both"/>
              <w:rPr>
                <w:rFonts w:ascii="Segoe UI" w:hAnsi="Segoe UI" w:cs="Segoe UI"/>
                <w:color w:val="FF0000"/>
                <w:sz w:val="20"/>
                <w:lang w:val="kk-KZ" w:eastAsia="zh-CN"/>
              </w:rPr>
            </w:pPr>
            <w:r w:rsidRPr="009B23B7">
              <w:rPr>
                <w:rFonts w:ascii="Segoe UI" w:hAnsi="Segoe UI" w:cs="Segoe UI"/>
                <w:color w:val="FF0000"/>
                <w:sz w:val="20"/>
                <w:lang w:val="kk-KZ" w:eastAsia="zh-CN"/>
              </w:rPr>
              <w:t> </w:t>
            </w:r>
          </w:p>
        </w:tc>
        <w:tc>
          <w:tcPr>
            <w:tcW w:w="885" w:type="dxa"/>
            <w:gridSpan w:val="2"/>
            <w:tcBorders>
              <w:top w:val="nil"/>
              <w:left w:val="nil"/>
              <w:bottom w:val="single" w:sz="4" w:space="0" w:color="auto"/>
              <w:right w:val="nil"/>
            </w:tcBorders>
            <w:shd w:val="clear" w:color="000000" w:fill="FFFFFF"/>
            <w:noWrap/>
            <w:vAlign w:val="bottom"/>
            <w:hideMark/>
          </w:tcPr>
          <w:p w:rsidR="00752F5C" w:rsidRPr="009B23B7" w:rsidRDefault="00752F5C" w:rsidP="00567EAE">
            <w:pPr>
              <w:jc w:val="both"/>
              <w:rPr>
                <w:rFonts w:ascii="Segoe UI" w:hAnsi="Segoe UI" w:cs="Segoe UI"/>
                <w:color w:val="FF0000"/>
                <w:sz w:val="20"/>
                <w:lang w:val="kk-KZ" w:eastAsia="zh-CN"/>
              </w:rPr>
            </w:pPr>
            <w:r w:rsidRPr="009B23B7">
              <w:rPr>
                <w:rFonts w:ascii="Segoe UI" w:hAnsi="Segoe UI" w:cs="Segoe UI"/>
                <w:color w:val="FF0000"/>
                <w:sz w:val="20"/>
                <w:lang w:val="kk-KZ" w:eastAsia="zh-CN"/>
              </w:rPr>
              <w:t> </w:t>
            </w:r>
          </w:p>
        </w:tc>
        <w:tc>
          <w:tcPr>
            <w:tcW w:w="829" w:type="dxa"/>
            <w:tcBorders>
              <w:top w:val="nil"/>
              <w:left w:val="nil"/>
              <w:bottom w:val="single" w:sz="4" w:space="0" w:color="auto"/>
              <w:right w:val="nil"/>
            </w:tcBorders>
            <w:shd w:val="clear" w:color="000000" w:fill="FFFFFF"/>
            <w:noWrap/>
            <w:vAlign w:val="bottom"/>
            <w:hideMark/>
          </w:tcPr>
          <w:p w:rsidR="00752F5C" w:rsidRPr="009B23B7" w:rsidRDefault="00752F5C" w:rsidP="00567EAE">
            <w:pPr>
              <w:jc w:val="both"/>
              <w:rPr>
                <w:rFonts w:ascii="Segoe UI" w:hAnsi="Segoe UI" w:cs="Segoe UI"/>
                <w:color w:val="FF0000"/>
                <w:sz w:val="20"/>
                <w:lang w:val="kk-KZ" w:eastAsia="zh-CN"/>
              </w:rPr>
            </w:pPr>
            <w:r w:rsidRPr="009B23B7">
              <w:rPr>
                <w:rFonts w:ascii="Segoe UI" w:hAnsi="Segoe UI" w:cs="Segoe UI"/>
                <w:color w:val="FF0000"/>
                <w:sz w:val="20"/>
                <w:lang w:val="kk-KZ" w:eastAsia="zh-CN"/>
              </w:rPr>
              <w:t> </w:t>
            </w:r>
          </w:p>
        </w:tc>
      </w:tr>
      <w:tr w:rsidR="00752F5C" w:rsidRPr="009B23B7" w:rsidTr="00592457">
        <w:trPr>
          <w:trHeight w:val="285"/>
        </w:trPr>
        <w:tc>
          <w:tcPr>
            <w:tcW w:w="6030" w:type="dxa"/>
            <w:tcBorders>
              <w:top w:val="single" w:sz="4" w:space="0" w:color="auto"/>
              <w:left w:val="nil"/>
              <w:right w:val="nil"/>
            </w:tcBorders>
            <w:shd w:val="clear" w:color="000000" w:fill="FFFFFF"/>
            <w:noWrap/>
            <w:vAlign w:val="bottom"/>
            <w:hideMark/>
          </w:tcPr>
          <w:p w:rsidR="00752F5C" w:rsidRPr="009B23B7" w:rsidRDefault="00752F5C" w:rsidP="00567EAE">
            <w:pPr>
              <w:ind w:right="1155"/>
              <w:jc w:val="both"/>
              <w:rPr>
                <w:rFonts w:ascii="Segoe UI" w:hAnsi="Segoe UI" w:cs="Segoe UI"/>
                <w:sz w:val="20"/>
                <w:lang w:val="kk-KZ" w:eastAsia="zh-CN"/>
              </w:rPr>
            </w:pPr>
            <w:r w:rsidRPr="009B23B7">
              <w:rPr>
                <w:rFonts w:ascii="Segoe UI" w:hAnsi="Segoe UI" w:cs="Segoe UI"/>
                <w:sz w:val="20"/>
                <w:lang w:val="kk-KZ" w:eastAsia="zh-CN"/>
              </w:rPr>
              <w:t> </w:t>
            </w:r>
          </w:p>
        </w:tc>
        <w:tc>
          <w:tcPr>
            <w:tcW w:w="720" w:type="dxa"/>
            <w:gridSpan w:val="2"/>
            <w:tcBorders>
              <w:top w:val="single" w:sz="4" w:space="0" w:color="auto"/>
              <w:left w:val="nil"/>
              <w:right w:val="nil"/>
            </w:tcBorders>
            <w:shd w:val="clear" w:color="000000" w:fill="FFFFFF"/>
            <w:noWrap/>
            <w:vAlign w:val="bottom"/>
            <w:hideMark/>
          </w:tcPr>
          <w:p w:rsidR="00752F5C" w:rsidRPr="009B23B7" w:rsidRDefault="00752F5C" w:rsidP="00567EAE">
            <w:pPr>
              <w:jc w:val="both"/>
              <w:rPr>
                <w:rFonts w:ascii="Segoe UI" w:hAnsi="Segoe UI" w:cs="Segoe UI"/>
                <w:sz w:val="20"/>
                <w:lang w:val="kk-KZ" w:eastAsia="zh-CN"/>
              </w:rPr>
            </w:pPr>
            <w:r w:rsidRPr="009B23B7">
              <w:rPr>
                <w:rFonts w:ascii="Segoe UI" w:hAnsi="Segoe UI" w:cs="Segoe UI"/>
                <w:sz w:val="20"/>
                <w:lang w:val="kk-KZ" w:eastAsia="zh-CN"/>
              </w:rPr>
              <w:t>2018</w:t>
            </w:r>
          </w:p>
        </w:tc>
        <w:tc>
          <w:tcPr>
            <w:tcW w:w="720" w:type="dxa"/>
            <w:gridSpan w:val="2"/>
            <w:tcBorders>
              <w:top w:val="single" w:sz="4" w:space="0" w:color="auto"/>
              <w:left w:val="nil"/>
              <w:right w:val="nil"/>
            </w:tcBorders>
            <w:shd w:val="clear" w:color="000000" w:fill="FFFFFF"/>
            <w:noWrap/>
            <w:vAlign w:val="bottom"/>
            <w:hideMark/>
          </w:tcPr>
          <w:p w:rsidR="00752F5C" w:rsidRPr="009B23B7" w:rsidRDefault="00752F5C" w:rsidP="00567EAE">
            <w:pPr>
              <w:jc w:val="both"/>
              <w:rPr>
                <w:rFonts w:ascii="Segoe UI" w:hAnsi="Segoe UI" w:cs="Segoe UI"/>
                <w:sz w:val="20"/>
                <w:lang w:val="kk-KZ" w:eastAsia="zh-CN"/>
              </w:rPr>
            </w:pPr>
            <w:r w:rsidRPr="009B23B7">
              <w:rPr>
                <w:rFonts w:ascii="Segoe UI" w:hAnsi="Segoe UI" w:cs="Segoe UI"/>
                <w:sz w:val="20"/>
                <w:lang w:val="kk-KZ" w:eastAsia="zh-CN"/>
              </w:rPr>
              <w:t>2019</w:t>
            </w:r>
          </w:p>
        </w:tc>
        <w:tc>
          <w:tcPr>
            <w:tcW w:w="868" w:type="dxa"/>
            <w:tcBorders>
              <w:top w:val="single" w:sz="4" w:space="0" w:color="auto"/>
              <w:left w:val="nil"/>
              <w:right w:val="nil"/>
            </w:tcBorders>
            <w:shd w:val="clear" w:color="000000" w:fill="FFFFFF"/>
            <w:noWrap/>
            <w:vAlign w:val="bottom"/>
            <w:hideMark/>
          </w:tcPr>
          <w:p w:rsidR="00752F5C" w:rsidRPr="009B23B7" w:rsidRDefault="00752F5C" w:rsidP="00567EAE">
            <w:pPr>
              <w:jc w:val="both"/>
              <w:rPr>
                <w:rFonts w:ascii="Segoe UI" w:hAnsi="Segoe UI" w:cs="Segoe UI"/>
                <w:sz w:val="20"/>
                <w:lang w:val="kk-KZ" w:eastAsia="zh-CN"/>
              </w:rPr>
            </w:pPr>
            <w:r w:rsidRPr="009B23B7">
              <w:rPr>
                <w:rFonts w:ascii="Segoe UI" w:hAnsi="Segoe UI" w:cs="Segoe UI"/>
                <w:sz w:val="20"/>
                <w:lang w:val="kk-KZ" w:eastAsia="zh-CN"/>
              </w:rPr>
              <w:t>2020</w:t>
            </w:r>
          </w:p>
        </w:tc>
        <w:tc>
          <w:tcPr>
            <w:tcW w:w="868" w:type="dxa"/>
            <w:gridSpan w:val="2"/>
            <w:tcBorders>
              <w:top w:val="single" w:sz="4" w:space="0" w:color="auto"/>
              <w:left w:val="nil"/>
              <w:right w:val="nil"/>
            </w:tcBorders>
            <w:shd w:val="clear" w:color="000000" w:fill="FFFFFF"/>
            <w:noWrap/>
            <w:vAlign w:val="bottom"/>
            <w:hideMark/>
          </w:tcPr>
          <w:p w:rsidR="00752F5C" w:rsidRPr="009B23B7" w:rsidRDefault="00752F5C" w:rsidP="00567EAE">
            <w:pPr>
              <w:jc w:val="both"/>
              <w:rPr>
                <w:rFonts w:ascii="Segoe UI" w:hAnsi="Segoe UI" w:cs="Segoe UI"/>
                <w:sz w:val="20"/>
                <w:lang w:val="kk-KZ" w:eastAsia="zh-CN"/>
              </w:rPr>
            </w:pPr>
            <w:r w:rsidRPr="009B23B7">
              <w:rPr>
                <w:rFonts w:ascii="Segoe UI" w:hAnsi="Segoe UI" w:cs="Segoe UI"/>
                <w:sz w:val="20"/>
                <w:lang w:val="kk-KZ" w:eastAsia="zh-CN"/>
              </w:rPr>
              <w:t>2021</w:t>
            </w:r>
          </w:p>
        </w:tc>
        <w:tc>
          <w:tcPr>
            <w:tcW w:w="868" w:type="dxa"/>
            <w:gridSpan w:val="2"/>
            <w:tcBorders>
              <w:top w:val="single" w:sz="4" w:space="0" w:color="auto"/>
              <w:left w:val="nil"/>
              <w:right w:val="nil"/>
            </w:tcBorders>
            <w:shd w:val="clear" w:color="000000" w:fill="FFFFFF"/>
            <w:noWrap/>
            <w:vAlign w:val="bottom"/>
            <w:hideMark/>
          </w:tcPr>
          <w:p w:rsidR="00752F5C" w:rsidRPr="009B23B7" w:rsidRDefault="00752F5C" w:rsidP="00567EAE">
            <w:pPr>
              <w:jc w:val="both"/>
              <w:rPr>
                <w:rFonts w:ascii="Segoe UI" w:hAnsi="Segoe UI" w:cs="Segoe UI"/>
                <w:sz w:val="20"/>
                <w:lang w:val="kk-KZ" w:eastAsia="zh-CN"/>
              </w:rPr>
            </w:pPr>
            <w:r w:rsidRPr="009B23B7">
              <w:rPr>
                <w:rFonts w:ascii="Segoe UI" w:hAnsi="Segoe UI" w:cs="Segoe UI"/>
                <w:sz w:val="20"/>
                <w:lang w:val="kk-KZ" w:eastAsia="zh-CN"/>
              </w:rPr>
              <w:t>2022</w:t>
            </w:r>
          </w:p>
        </w:tc>
      </w:tr>
      <w:tr w:rsidR="00752F5C" w:rsidRPr="009B23B7" w:rsidTr="00592457">
        <w:trPr>
          <w:trHeight w:val="432"/>
        </w:trPr>
        <w:tc>
          <w:tcPr>
            <w:tcW w:w="6030" w:type="dxa"/>
            <w:tcBorders>
              <w:top w:val="nil"/>
              <w:left w:val="nil"/>
              <w:bottom w:val="single" w:sz="4" w:space="0" w:color="auto"/>
              <w:right w:val="nil"/>
            </w:tcBorders>
            <w:shd w:val="clear" w:color="000000" w:fill="FFFFFF"/>
            <w:noWrap/>
            <w:vAlign w:val="bottom"/>
            <w:hideMark/>
          </w:tcPr>
          <w:p w:rsidR="00752F5C" w:rsidRPr="009B23B7" w:rsidRDefault="00752F5C" w:rsidP="00567EAE">
            <w:pPr>
              <w:jc w:val="both"/>
              <w:rPr>
                <w:rFonts w:ascii="Segoe UI" w:hAnsi="Segoe UI" w:cs="Segoe UI"/>
                <w:sz w:val="20"/>
                <w:lang w:val="kk-KZ" w:eastAsia="zh-CN"/>
              </w:rPr>
            </w:pPr>
            <w:r w:rsidRPr="009B23B7">
              <w:rPr>
                <w:rFonts w:ascii="Segoe UI" w:hAnsi="Segoe UI" w:cs="Segoe UI"/>
                <w:sz w:val="20"/>
                <w:lang w:val="kk-KZ" w:eastAsia="zh-CN"/>
              </w:rPr>
              <w:t> </w:t>
            </w:r>
          </w:p>
        </w:tc>
        <w:tc>
          <w:tcPr>
            <w:tcW w:w="720" w:type="dxa"/>
            <w:gridSpan w:val="2"/>
            <w:tcBorders>
              <w:top w:val="nil"/>
              <w:left w:val="nil"/>
              <w:bottom w:val="single" w:sz="4" w:space="0" w:color="auto"/>
              <w:right w:val="nil"/>
            </w:tcBorders>
            <w:shd w:val="clear" w:color="000000" w:fill="FFFFFF"/>
            <w:noWrap/>
            <w:vAlign w:val="center"/>
            <w:hideMark/>
          </w:tcPr>
          <w:p w:rsidR="00752F5C" w:rsidRPr="009B23B7" w:rsidRDefault="00752F5C" w:rsidP="00567EAE">
            <w:pPr>
              <w:jc w:val="both"/>
              <w:rPr>
                <w:rFonts w:ascii="Segoe UI" w:hAnsi="Segoe UI" w:cs="Segoe UI"/>
                <w:sz w:val="20"/>
                <w:lang w:val="kk-KZ" w:eastAsia="zh-CN"/>
              </w:rPr>
            </w:pPr>
            <w:r w:rsidRPr="009B23B7">
              <w:rPr>
                <w:rFonts w:ascii="Segoe UI" w:hAnsi="Segoe UI" w:cs="Segoe UI"/>
                <w:sz w:val="20"/>
                <w:lang w:val="kk-KZ" w:eastAsia="zh-CN"/>
              </w:rPr>
              <w:t> </w:t>
            </w:r>
          </w:p>
        </w:tc>
        <w:tc>
          <w:tcPr>
            <w:tcW w:w="720" w:type="dxa"/>
            <w:gridSpan w:val="2"/>
            <w:tcBorders>
              <w:top w:val="nil"/>
              <w:left w:val="nil"/>
              <w:bottom w:val="single" w:sz="4" w:space="0" w:color="auto"/>
              <w:right w:val="nil"/>
            </w:tcBorders>
            <w:shd w:val="clear" w:color="000000" w:fill="FFFFFF"/>
            <w:noWrap/>
            <w:vAlign w:val="center"/>
            <w:hideMark/>
          </w:tcPr>
          <w:p w:rsidR="00752F5C" w:rsidRPr="009B23B7" w:rsidRDefault="00752F5C" w:rsidP="00567EAE">
            <w:pPr>
              <w:jc w:val="both"/>
              <w:rPr>
                <w:rFonts w:ascii="Segoe UI" w:hAnsi="Segoe UI" w:cs="Segoe UI"/>
                <w:sz w:val="20"/>
                <w:lang w:val="kk-KZ" w:eastAsia="zh-CN"/>
              </w:rPr>
            </w:pPr>
            <w:r w:rsidRPr="009B23B7">
              <w:rPr>
                <w:rFonts w:ascii="Segoe UI" w:hAnsi="Segoe UI" w:cs="Segoe UI"/>
                <w:sz w:val="20"/>
                <w:lang w:val="kk-KZ" w:eastAsia="zh-CN"/>
              </w:rPr>
              <w:t> </w:t>
            </w:r>
          </w:p>
        </w:tc>
        <w:tc>
          <w:tcPr>
            <w:tcW w:w="868" w:type="dxa"/>
            <w:tcBorders>
              <w:top w:val="nil"/>
              <w:left w:val="nil"/>
              <w:bottom w:val="single" w:sz="4" w:space="0" w:color="auto"/>
              <w:right w:val="nil"/>
            </w:tcBorders>
            <w:shd w:val="clear" w:color="000000" w:fill="FFFFFF"/>
            <w:noWrap/>
            <w:vAlign w:val="center"/>
            <w:hideMark/>
          </w:tcPr>
          <w:p w:rsidR="00752F5C" w:rsidRPr="009B23B7" w:rsidRDefault="00752F5C" w:rsidP="00567EAE">
            <w:pPr>
              <w:jc w:val="both"/>
              <w:rPr>
                <w:rFonts w:ascii="Segoe UI" w:hAnsi="Segoe UI" w:cs="Segoe UI"/>
                <w:sz w:val="20"/>
                <w:lang w:val="kk-KZ" w:eastAsia="zh-CN"/>
              </w:rPr>
            </w:pPr>
            <w:r w:rsidRPr="009B23B7">
              <w:rPr>
                <w:rFonts w:ascii="Segoe UI" w:hAnsi="Segoe UI" w:cs="Segoe UI"/>
                <w:sz w:val="20"/>
                <w:lang w:val="kk-KZ" w:eastAsia="zh-CN"/>
              </w:rPr>
              <w:t>(болж.)</w:t>
            </w:r>
          </w:p>
        </w:tc>
        <w:tc>
          <w:tcPr>
            <w:tcW w:w="868" w:type="dxa"/>
            <w:gridSpan w:val="2"/>
            <w:tcBorders>
              <w:top w:val="nil"/>
              <w:left w:val="nil"/>
              <w:bottom w:val="single" w:sz="4" w:space="0" w:color="auto"/>
              <w:right w:val="nil"/>
            </w:tcBorders>
            <w:shd w:val="clear" w:color="000000" w:fill="FFFFFF"/>
            <w:noWrap/>
            <w:vAlign w:val="center"/>
            <w:hideMark/>
          </w:tcPr>
          <w:p w:rsidR="00752F5C" w:rsidRPr="009B23B7" w:rsidRDefault="00752F5C" w:rsidP="00567EAE">
            <w:pPr>
              <w:jc w:val="both"/>
              <w:rPr>
                <w:rFonts w:ascii="Segoe UI" w:hAnsi="Segoe UI" w:cs="Segoe UI"/>
                <w:sz w:val="20"/>
                <w:lang w:val="kk-KZ" w:eastAsia="zh-CN"/>
              </w:rPr>
            </w:pPr>
            <w:r w:rsidRPr="009B23B7">
              <w:rPr>
                <w:rFonts w:ascii="Segoe UI" w:hAnsi="Segoe UI" w:cs="Segoe UI"/>
                <w:sz w:val="20"/>
                <w:lang w:val="kk-KZ" w:eastAsia="zh-CN"/>
              </w:rPr>
              <w:t>(болж.)</w:t>
            </w:r>
          </w:p>
        </w:tc>
        <w:tc>
          <w:tcPr>
            <w:tcW w:w="868" w:type="dxa"/>
            <w:gridSpan w:val="2"/>
            <w:tcBorders>
              <w:top w:val="nil"/>
              <w:left w:val="nil"/>
              <w:bottom w:val="single" w:sz="4" w:space="0" w:color="auto"/>
              <w:right w:val="nil"/>
            </w:tcBorders>
            <w:shd w:val="clear" w:color="000000" w:fill="FFFFFF"/>
            <w:noWrap/>
            <w:vAlign w:val="center"/>
            <w:hideMark/>
          </w:tcPr>
          <w:p w:rsidR="00752F5C" w:rsidRPr="009B23B7" w:rsidRDefault="00752F5C" w:rsidP="00567EAE">
            <w:pPr>
              <w:jc w:val="both"/>
              <w:rPr>
                <w:rFonts w:ascii="Segoe UI" w:hAnsi="Segoe UI" w:cs="Segoe UI"/>
                <w:sz w:val="20"/>
                <w:lang w:val="kk-KZ" w:eastAsia="zh-CN"/>
              </w:rPr>
            </w:pPr>
            <w:r w:rsidRPr="009B23B7">
              <w:rPr>
                <w:rFonts w:ascii="Segoe UI" w:hAnsi="Segoe UI" w:cs="Segoe UI"/>
                <w:sz w:val="20"/>
                <w:lang w:val="kk-KZ" w:eastAsia="zh-CN"/>
              </w:rPr>
              <w:t>(болж.)</w:t>
            </w:r>
          </w:p>
        </w:tc>
      </w:tr>
      <w:tr w:rsidR="00752F5C" w:rsidRPr="009B23B7" w:rsidTr="00592457">
        <w:trPr>
          <w:trHeight w:val="195"/>
        </w:trPr>
        <w:tc>
          <w:tcPr>
            <w:tcW w:w="6030" w:type="dxa"/>
            <w:tcBorders>
              <w:top w:val="single" w:sz="4" w:space="0" w:color="auto"/>
              <w:left w:val="nil"/>
              <w:bottom w:val="nil"/>
              <w:right w:val="nil"/>
            </w:tcBorders>
            <w:shd w:val="clear" w:color="000000" w:fill="FFFFFF"/>
            <w:noWrap/>
            <w:vAlign w:val="bottom"/>
            <w:hideMark/>
          </w:tcPr>
          <w:p w:rsidR="00752F5C" w:rsidRPr="009B23B7" w:rsidRDefault="00752F5C" w:rsidP="00567EAE">
            <w:pPr>
              <w:jc w:val="both"/>
              <w:rPr>
                <w:rFonts w:ascii="Segoe UI" w:hAnsi="Segoe UI" w:cs="Segoe UI"/>
                <w:sz w:val="20"/>
                <w:lang w:val="kk-KZ" w:eastAsia="zh-CN"/>
              </w:rPr>
            </w:pPr>
            <w:r w:rsidRPr="009B23B7">
              <w:rPr>
                <w:rFonts w:ascii="Segoe UI" w:hAnsi="Segoe UI" w:cs="Segoe UI"/>
                <w:sz w:val="20"/>
                <w:lang w:val="kk-KZ" w:eastAsia="zh-CN"/>
              </w:rPr>
              <w:t> </w:t>
            </w:r>
          </w:p>
        </w:tc>
        <w:tc>
          <w:tcPr>
            <w:tcW w:w="720" w:type="dxa"/>
            <w:gridSpan w:val="2"/>
            <w:tcBorders>
              <w:top w:val="single" w:sz="4" w:space="0" w:color="auto"/>
              <w:left w:val="nil"/>
              <w:bottom w:val="nil"/>
              <w:right w:val="nil"/>
            </w:tcBorders>
            <w:shd w:val="clear" w:color="000000" w:fill="FFFFFF"/>
            <w:noWrap/>
            <w:vAlign w:val="bottom"/>
            <w:hideMark/>
          </w:tcPr>
          <w:p w:rsidR="00752F5C" w:rsidRPr="009B23B7" w:rsidRDefault="00752F5C" w:rsidP="00567EAE">
            <w:pPr>
              <w:jc w:val="both"/>
              <w:rPr>
                <w:rFonts w:ascii="Segoe UI" w:hAnsi="Segoe UI" w:cs="Segoe UI"/>
                <w:sz w:val="20"/>
                <w:lang w:val="kk-KZ" w:eastAsia="zh-CN"/>
              </w:rPr>
            </w:pPr>
            <w:r w:rsidRPr="009B23B7">
              <w:rPr>
                <w:rFonts w:ascii="Segoe UI" w:hAnsi="Segoe UI" w:cs="Segoe UI"/>
                <w:sz w:val="20"/>
                <w:lang w:val="kk-KZ" w:eastAsia="zh-CN"/>
              </w:rPr>
              <w:t> </w:t>
            </w:r>
          </w:p>
        </w:tc>
        <w:tc>
          <w:tcPr>
            <w:tcW w:w="720" w:type="dxa"/>
            <w:gridSpan w:val="2"/>
            <w:tcBorders>
              <w:top w:val="single" w:sz="4" w:space="0" w:color="auto"/>
              <w:left w:val="nil"/>
              <w:bottom w:val="nil"/>
              <w:right w:val="nil"/>
            </w:tcBorders>
            <w:shd w:val="clear" w:color="000000" w:fill="FFFFFF"/>
            <w:noWrap/>
            <w:vAlign w:val="bottom"/>
            <w:hideMark/>
          </w:tcPr>
          <w:p w:rsidR="00752F5C" w:rsidRPr="009B23B7" w:rsidRDefault="00752F5C" w:rsidP="00567EAE">
            <w:pPr>
              <w:jc w:val="both"/>
              <w:rPr>
                <w:rFonts w:ascii="Segoe UI" w:hAnsi="Segoe UI" w:cs="Segoe UI"/>
                <w:sz w:val="20"/>
                <w:lang w:val="kk-KZ" w:eastAsia="zh-CN"/>
              </w:rPr>
            </w:pPr>
            <w:r w:rsidRPr="009B23B7">
              <w:rPr>
                <w:rFonts w:ascii="Segoe UI" w:hAnsi="Segoe UI" w:cs="Segoe UI"/>
                <w:sz w:val="20"/>
                <w:lang w:val="kk-KZ" w:eastAsia="zh-CN"/>
              </w:rPr>
              <w:t> </w:t>
            </w:r>
          </w:p>
        </w:tc>
        <w:tc>
          <w:tcPr>
            <w:tcW w:w="868" w:type="dxa"/>
            <w:tcBorders>
              <w:top w:val="single" w:sz="4" w:space="0" w:color="auto"/>
              <w:left w:val="nil"/>
              <w:bottom w:val="nil"/>
              <w:right w:val="nil"/>
            </w:tcBorders>
            <w:shd w:val="clear" w:color="000000" w:fill="FFFFFF"/>
            <w:noWrap/>
            <w:vAlign w:val="bottom"/>
            <w:hideMark/>
          </w:tcPr>
          <w:p w:rsidR="00752F5C" w:rsidRPr="009B23B7" w:rsidRDefault="00752F5C" w:rsidP="00567EAE">
            <w:pPr>
              <w:jc w:val="both"/>
              <w:rPr>
                <w:rFonts w:ascii="Segoe UI" w:hAnsi="Segoe UI" w:cs="Segoe UI"/>
                <w:sz w:val="20"/>
                <w:lang w:val="kk-KZ" w:eastAsia="zh-CN"/>
              </w:rPr>
            </w:pPr>
            <w:r w:rsidRPr="009B23B7">
              <w:rPr>
                <w:rFonts w:ascii="Segoe UI" w:hAnsi="Segoe UI" w:cs="Segoe UI"/>
                <w:sz w:val="20"/>
                <w:lang w:val="kk-KZ" w:eastAsia="zh-CN"/>
              </w:rPr>
              <w:t> </w:t>
            </w:r>
          </w:p>
        </w:tc>
        <w:tc>
          <w:tcPr>
            <w:tcW w:w="868" w:type="dxa"/>
            <w:gridSpan w:val="2"/>
            <w:tcBorders>
              <w:top w:val="single" w:sz="4" w:space="0" w:color="auto"/>
              <w:left w:val="nil"/>
              <w:bottom w:val="nil"/>
              <w:right w:val="nil"/>
            </w:tcBorders>
            <w:shd w:val="clear" w:color="000000" w:fill="FFFFFF"/>
            <w:noWrap/>
            <w:vAlign w:val="bottom"/>
            <w:hideMark/>
          </w:tcPr>
          <w:p w:rsidR="00752F5C" w:rsidRPr="009B23B7" w:rsidRDefault="00752F5C" w:rsidP="00567EAE">
            <w:pPr>
              <w:jc w:val="both"/>
              <w:rPr>
                <w:rFonts w:ascii="Segoe UI" w:hAnsi="Segoe UI" w:cs="Segoe UI"/>
                <w:sz w:val="20"/>
                <w:lang w:val="kk-KZ" w:eastAsia="zh-CN"/>
              </w:rPr>
            </w:pPr>
            <w:r w:rsidRPr="009B23B7">
              <w:rPr>
                <w:rFonts w:ascii="Segoe UI" w:hAnsi="Segoe UI" w:cs="Segoe UI"/>
                <w:sz w:val="20"/>
                <w:lang w:val="kk-KZ" w:eastAsia="zh-CN"/>
              </w:rPr>
              <w:t> </w:t>
            </w:r>
          </w:p>
        </w:tc>
        <w:tc>
          <w:tcPr>
            <w:tcW w:w="868" w:type="dxa"/>
            <w:gridSpan w:val="2"/>
            <w:tcBorders>
              <w:top w:val="single" w:sz="4" w:space="0" w:color="auto"/>
              <w:left w:val="nil"/>
              <w:bottom w:val="nil"/>
              <w:right w:val="nil"/>
            </w:tcBorders>
            <w:shd w:val="clear" w:color="000000" w:fill="FFFFFF"/>
            <w:noWrap/>
            <w:vAlign w:val="bottom"/>
            <w:hideMark/>
          </w:tcPr>
          <w:p w:rsidR="00752F5C" w:rsidRPr="009B23B7" w:rsidRDefault="00752F5C" w:rsidP="00567EAE">
            <w:pPr>
              <w:jc w:val="both"/>
              <w:rPr>
                <w:rFonts w:ascii="Segoe UI" w:hAnsi="Segoe UI" w:cs="Segoe UI"/>
                <w:sz w:val="20"/>
                <w:lang w:val="kk-KZ" w:eastAsia="zh-CN"/>
              </w:rPr>
            </w:pPr>
            <w:r w:rsidRPr="009B23B7">
              <w:rPr>
                <w:rFonts w:ascii="Segoe UI" w:hAnsi="Segoe UI" w:cs="Segoe UI"/>
                <w:sz w:val="20"/>
                <w:lang w:val="kk-KZ" w:eastAsia="zh-CN"/>
              </w:rPr>
              <w:t> </w:t>
            </w:r>
          </w:p>
        </w:tc>
      </w:tr>
      <w:tr w:rsidR="00752F5C" w:rsidRPr="009B23B7" w:rsidTr="00592457">
        <w:trPr>
          <w:trHeight w:val="285"/>
        </w:trPr>
        <w:tc>
          <w:tcPr>
            <w:tcW w:w="6030" w:type="dxa"/>
            <w:tcBorders>
              <w:top w:val="nil"/>
              <w:left w:val="nil"/>
              <w:bottom w:val="nil"/>
              <w:right w:val="nil"/>
            </w:tcBorders>
            <w:shd w:val="clear" w:color="000000" w:fill="FFFFFF"/>
            <w:noWrap/>
            <w:vAlign w:val="bottom"/>
            <w:hideMark/>
          </w:tcPr>
          <w:p w:rsidR="00752F5C" w:rsidRPr="009B23B7" w:rsidRDefault="00752F5C" w:rsidP="00567EAE">
            <w:pPr>
              <w:jc w:val="both"/>
              <w:rPr>
                <w:rFonts w:ascii="Segoe UI" w:hAnsi="Segoe UI" w:cs="Segoe UI"/>
                <w:b/>
                <w:bCs/>
                <w:sz w:val="20"/>
                <w:lang w:val="kk-KZ" w:eastAsia="zh-CN"/>
              </w:rPr>
            </w:pPr>
            <w:r w:rsidRPr="009B23B7">
              <w:rPr>
                <w:rFonts w:ascii="Segoe UI" w:hAnsi="Segoe UI" w:cs="Segoe UI"/>
                <w:b/>
                <w:bCs/>
                <w:sz w:val="20"/>
                <w:lang w:val="kk-KZ" w:eastAsia="zh-CN"/>
              </w:rPr>
              <w:t>Өндіріс</w:t>
            </w:r>
          </w:p>
        </w:tc>
        <w:tc>
          <w:tcPr>
            <w:tcW w:w="720" w:type="dxa"/>
            <w:gridSpan w:val="2"/>
            <w:tcBorders>
              <w:top w:val="nil"/>
              <w:left w:val="nil"/>
              <w:bottom w:val="nil"/>
              <w:right w:val="nil"/>
            </w:tcBorders>
            <w:shd w:val="clear" w:color="000000" w:fill="FFFFFF"/>
            <w:noWrap/>
            <w:vAlign w:val="bottom"/>
            <w:hideMark/>
          </w:tcPr>
          <w:p w:rsidR="00752F5C" w:rsidRPr="009B23B7" w:rsidRDefault="00752F5C" w:rsidP="00567EAE">
            <w:pPr>
              <w:jc w:val="both"/>
              <w:rPr>
                <w:rFonts w:ascii="Segoe UI" w:hAnsi="Segoe UI" w:cs="Segoe UI"/>
                <w:sz w:val="20"/>
                <w:lang w:val="kk-KZ" w:eastAsia="zh-CN"/>
              </w:rPr>
            </w:pPr>
            <w:r w:rsidRPr="009B23B7">
              <w:rPr>
                <w:rFonts w:ascii="Segoe UI" w:hAnsi="Segoe UI" w:cs="Segoe UI"/>
                <w:sz w:val="20"/>
                <w:lang w:val="kk-KZ" w:eastAsia="zh-CN"/>
              </w:rPr>
              <w:t> </w:t>
            </w:r>
          </w:p>
        </w:tc>
        <w:tc>
          <w:tcPr>
            <w:tcW w:w="720" w:type="dxa"/>
            <w:gridSpan w:val="2"/>
            <w:tcBorders>
              <w:top w:val="nil"/>
              <w:left w:val="nil"/>
              <w:bottom w:val="nil"/>
              <w:right w:val="nil"/>
            </w:tcBorders>
            <w:shd w:val="clear" w:color="000000" w:fill="FFFFFF"/>
            <w:noWrap/>
            <w:vAlign w:val="bottom"/>
            <w:hideMark/>
          </w:tcPr>
          <w:p w:rsidR="00752F5C" w:rsidRPr="009B23B7" w:rsidRDefault="00752F5C" w:rsidP="00567EAE">
            <w:pPr>
              <w:jc w:val="both"/>
              <w:rPr>
                <w:rFonts w:ascii="Segoe UI" w:hAnsi="Segoe UI" w:cs="Segoe UI"/>
                <w:sz w:val="20"/>
                <w:lang w:val="kk-KZ" w:eastAsia="zh-CN"/>
              </w:rPr>
            </w:pPr>
            <w:r w:rsidRPr="009B23B7">
              <w:rPr>
                <w:rFonts w:ascii="Segoe UI" w:hAnsi="Segoe UI" w:cs="Segoe UI"/>
                <w:sz w:val="20"/>
                <w:lang w:val="kk-KZ" w:eastAsia="zh-CN"/>
              </w:rPr>
              <w:t> </w:t>
            </w:r>
          </w:p>
        </w:tc>
        <w:tc>
          <w:tcPr>
            <w:tcW w:w="868" w:type="dxa"/>
            <w:tcBorders>
              <w:top w:val="nil"/>
              <w:left w:val="nil"/>
              <w:bottom w:val="nil"/>
              <w:right w:val="nil"/>
            </w:tcBorders>
            <w:shd w:val="clear" w:color="000000" w:fill="FFFFFF"/>
            <w:noWrap/>
            <w:vAlign w:val="bottom"/>
            <w:hideMark/>
          </w:tcPr>
          <w:p w:rsidR="00752F5C" w:rsidRPr="009B23B7" w:rsidRDefault="00752F5C" w:rsidP="00567EAE">
            <w:pPr>
              <w:jc w:val="both"/>
              <w:rPr>
                <w:rFonts w:ascii="Segoe UI" w:hAnsi="Segoe UI" w:cs="Segoe UI"/>
                <w:sz w:val="20"/>
                <w:lang w:val="kk-KZ" w:eastAsia="zh-CN"/>
              </w:rPr>
            </w:pPr>
            <w:r w:rsidRPr="009B23B7">
              <w:rPr>
                <w:rFonts w:ascii="Segoe UI" w:hAnsi="Segoe UI" w:cs="Segoe UI"/>
                <w:sz w:val="20"/>
                <w:lang w:val="kk-KZ" w:eastAsia="zh-CN"/>
              </w:rPr>
              <w:t> </w:t>
            </w:r>
          </w:p>
        </w:tc>
        <w:tc>
          <w:tcPr>
            <w:tcW w:w="868" w:type="dxa"/>
            <w:gridSpan w:val="2"/>
            <w:tcBorders>
              <w:top w:val="nil"/>
              <w:left w:val="nil"/>
              <w:bottom w:val="nil"/>
              <w:right w:val="nil"/>
            </w:tcBorders>
            <w:shd w:val="clear" w:color="000000" w:fill="FFFFFF"/>
            <w:noWrap/>
            <w:vAlign w:val="bottom"/>
            <w:hideMark/>
          </w:tcPr>
          <w:p w:rsidR="00752F5C" w:rsidRPr="009B23B7" w:rsidRDefault="00752F5C" w:rsidP="00567EAE">
            <w:pPr>
              <w:jc w:val="both"/>
              <w:rPr>
                <w:rFonts w:ascii="Segoe UI" w:hAnsi="Segoe UI" w:cs="Segoe UI"/>
                <w:sz w:val="20"/>
                <w:lang w:val="kk-KZ" w:eastAsia="zh-CN"/>
              </w:rPr>
            </w:pPr>
            <w:r w:rsidRPr="009B23B7">
              <w:rPr>
                <w:rFonts w:ascii="Segoe UI" w:hAnsi="Segoe UI" w:cs="Segoe UI"/>
                <w:sz w:val="20"/>
                <w:lang w:val="kk-KZ" w:eastAsia="zh-CN"/>
              </w:rPr>
              <w:t> </w:t>
            </w:r>
          </w:p>
        </w:tc>
        <w:tc>
          <w:tcPr>
            <w:tcW w:w="868" w:type="dxa"/>
            <w:gridSpan w:val="2"/>
            <w:tcBorders>
              <w:top w:val="nil"/>
              <w:left w:val="nil"/>
              <w:bottom w:val="nil"/>
              <w:right w:val="nil"/>
            </w:tcBorders>
            <w:shd w:val="clear" w:color="000000" w:fill="FFFFFF"/>
            <w:noWrap/>
            <w:vAlign w:val="bottom"/>
            <w:hideMark/>
          </w:tcPr>
          <w:p w:rsidR="00752F5C" w:rsidRPr="009B23B7" w:rsidRDefault="00752F5C" w:rsidP="00567EAE">
            <w:pPr>
              <w:jc w:val="both"/>
              <w:rPr>
                <w:rFonts w:ascii="Segoe UI" w:hAnsi="Segoe UI" w:cs="Segoe UI"/>
                <w:sz w:val="20"/>
                <w:lang w:val="kk-KZ" w:eastAsia="zh-CN"/>
              </w:rPr>
            </w:pPr>
            <w:r w:rsidRPr="009B23B7">
              <w:rPr>
                <w:rFonts w:ascii="Segoe UI" w:hAnsi="Segoe UI" w:cs="Segoe UI"/>
                <w:sz w:val="20"/>
                <w:lang w:val="kk-KZ" w:eastAsia="zh-CN"/>
              </w:rPr>
              <w:t> </w:t>
            </w:r>
          </w:p>
        </w:tc>
      </w:tr>
      <w:tr w:rsidR="00752F5C" w:rsidRPr="009B23B7" w:rsidTr="00592457">
        <w:trPr>
          <w:trHeight w:val="225"/>
        </w:trPr>
        <w:tc>
          <w:tcPr>
            <w:tcW w:w="6030" w:type="dxa"/>
            <w:tcBorders>
              <w:top w:val="nil"/>
              <w:left w:val="nil"/>
              <w:bottom w:val="nil"/>
              <w:right w:val="nil"/>
            </w:tcBorders>
            <w:shd w:val="clear" w:color="000000" w:fill="FFFFFF"/>
            <w:noWrap/>
            <w:vAlign w:val="bottom"/>
            <w:hideMark/>
          </w:tcPr>
          <w:p w:rsidR="00752F5C" w:rsidRPr="009B23B7" w:rsidRDefault="00752F5C" w:rsidP="00567EAE">
            <w:pPr>
              <w:ind w:firstLineChars="100" w:firstLine="200"/>
              <w:jc w:val="both"/>
              <w:rPr>
                <w:rFonts w:ascii="Segoe UI" w:hAnsi="Segoe UI" w:cs="Segoe UI"/>
                <w:sz w:val="20"/>
                <w:lang w:val="kk-KZ" w:eastAsia="zh-CN"/>
              </w:rPr>
            </w:pPr>
            <w:r w:rsidRPr="009B23B7">
              <w:rPr>
                <w:rFonts w:ascii="Segoe UI" w:hAnsi="Segoe UI" w:cs="Segoe UI"/>
                <w:sz w:val="20"/>
                <w:lang w:val="kk-KZ" w:eastAsia="zh-CN"/>
              </w:rPr>
              <w:t>Нақты ІЖӨ өсімі (%)</w:t>
            </w:r>
          </w:p>
        </w:tc>
        <w:tc>
          <w:tcPr>
            <w:tcW w:w="720" w:type="dxa"/>
            <w:gridSpan w:val="2"/>
            <w:tcBorders>
              <w:top w:val="nil"/>
              <w:left w:val="nil"/>
              <w:bottom w:val="nil"/>
              <w:right w:val="nil"/>
            </w:tcBorders>
            <w:shd w:val="clear" w:color="000000" w:fill="FFFFFF"/>
            <w:noWrap/>
            <w:vAlign w:val="bottom"/>
            <w:hideMark/>
          </w:tcPr>
          <w:p w:rsidR="00752F5C" w:rsidRPr="009B23B7" w:rsidRDefault="00752F5C" w:rsidP="00567EAE">
            <w:pPr>
              <w:jc w:val="both"/>
              <w:rPr>
                <w:rFonts w:ascii="Segoe UI" w:hAnsi="Segoe UI" w:cs="Segoe UI"/>
                <w:sz w:val="20"/>
                <w:lang w:val="kk-KZ" w:eastAsia="zh-CN"/>
              </w:rPr>
            </w:pPr>
            <w:r w:rsidRPr="009B23B7">
              <w:rPr>
                <w:rFonts w:ascii="Segoe UI" w:hAnsi="Segoe UI" w:cs="Segoe UI"/>
                <w:sz w:val="20"/>
                <w:lang w:val="kk-KZ"/>
              </w:rPr>
              <w:t>4.1</w:t>
            </w:r>
          </w:p>
        </w:tc>
        <w:tc>
          <w:tcPr>
            <w:tcW w:w="720" w:type="dxa"/>
            <w:gridSpan w:val="2"/>
            <w:tcBorders>
              <w:top w:val="nil"/>
              <w:left w:val="nil"/>
              <w:bottom w:val="nil"/>
              <w:right w:val="nil"/>
            </w:tcBorders>
            <w:shd w:val="clear" w:color="000000" w:fill="FFFFFF"/>
            <w:noWrap/>
            <w:vAlign w:val="bottom"/>
            <w:hideMark/>
          </w:tcPr>
          <w:p w:rsidR="00752F5C" w:rsidRPr="009B23B7" w:rsidRDefault="00752F5C" w:rsidP="00567EAE">
            <w:pPr>
              <w:jc w:val="both"/>
              <w:rPr>
                <w:rFonts w:ascii="Segoe UI" w:hAnsi="Segoe UI" w:cs="Segoe UI"/>
                <w:sz w:val="20"/>
                <w:lang w:val="kk-KZ" w:eastAsia="zh-CN"/>
              </w:rPr>
            </w:pPr>
            <w:r w:rsidRPr="009B23B7">
              <w:rPr>
                <w:rFonts w:ascii="Segoe UI" w:hAnsi="Segoe UI" w:cs="Segoe UI"/>
                <w:sz w:val="20"/>
                <w:lang w:val="kk-KZ"/>
              </w:rPr>
              <w:t>4.5</w:t>
            </w:r>
          </w:p>
        </w:tc>
        <w:tc>
          <w:tcPr>
            <w:tcW w:w="868" w:type="dxa"/>
            <w:tcBorders>
              <w:top w:val="nil"/>
              <w:left w:val="nil"/>
              <w:bottom w:val="nil"/>
              <w:right w:val="nil"/>
            </w:tcBorders>
            <w:shd w:val="clear" w:color="000000" w:fill="FFFFFF"/>
            <w:noWrap/>
            <w:vAlign w:val="bottom"/>
            <w:hideMark/>
          </w:tcPr>
          <w:p w:rsidR="00752F5C" w:rsidRPr="009B23B7" w:rsidRDefault="00752F5C" w:rsidP="00567EAE">
            <w:pPr>
              <w:jc w:val="both"/>
              <w:rPr>
                <w:rFonts w:ascii="Segoe UI" w:hAnsi="Segoe UI" w:cs="Segoe UI"/>
                <w:sz w:val="20"/>
                <w:lang w:val="kk-KZ" w:eastAsia="zh-CN"/>
              </w:rPr>
            </w:pPr>
            <w:r w:rsidRPr="009B23B7">
              <w:rPr>
                <w:rFonts w:ascii="Segoe UI" w:hAnsi="Segoe UI" w:cs="Segoe UI"/>
                <w:sz w:val="20"/>
                <w:lang w:val="kk-KZ"/>
              </w:rPr>
              <w:t>-2.7</w:t>
            </w:r>
          </w:p>
        </w:tc>
        <w:tc>
          <w:tcPr>
            <w:tcW w:w="868" w:type="dxa"/>
            <w:gridSpan w:val="2"/>
            <w:tcBorders>
              <w:top w:val="nil"/>
              <w:left w:val="nil"/>
              <w:bottom w:val="nil"/>
              <w:right w:val="nil"/>
            </w:tcBorders>
            <w:shd w:val="clear" w:color="000000" w:fill="FFFFFF"/>
            <w:noWrap/>
            <w:vAlign w:val="bottom"/>
            <w:hideMark/>
          </w:tcPr>
          <w:p w:rsidR="00752F5C" w:rsidRPr="009B23B7" w:rsidRDefault="00752F5C" w:rsidP="00567EAE">
            <w:pPr>
              <w:jc w:val="both"/>
              <w:rPr>
                <w:rFonts w:ascii="Segoe UI" w:hAnsi="Segoe UI" w:cs="Segoe UI"/>
                <w:sz w:val="20"/>
                <w:lang w:val="kk-KZ" w:eastAsia="zh-CN"/>
              </w:rPr>
            </w:pPr>
            <w:r w:rsidRPr="009B23B7">
              <w:rPr>
                <w:rFonts w:ascii="Segoe UI" w:hAnsi="Segoe UI" w:cs="Segoe UI"/>
                <w:sz w:val="20"/>
                <w:lang w:val="kk-KZ"/>
              </w:rPr>
              <w:t>3.3</w:t>
            </w:r>
          </w:p>
        </w:tc>
        <w:tc>
          <w:tcPr>
            <w:tcW w:w="868" w:type="dxa"/>
            <w:gridSpan w:val="2"/>
            <w:tcBorders>
              <w:top w:val="nil"/>
              <w:left w:val="nil"/>
              <w:bottom w:val="nil"/>
              <w:right w:val="nil"/>
            </w:tcBorders>
            <w:shd w:val="clear" w:color="000000" w:fill="FFFFFF"/>
            <w:noWrap/>
            <w:vAlign w:val="bottom"/>
            <w:hideMark/>
          </w:tcPr>
          <w:p w:rsidR="00752F5C" w:rsidRPr="009B23B7" w:rsidRDefault="00752F5C" w:rsidP="00567EAE">
            <w:pPr>
              <w:jc w:val="both"/>
              <w:rPr>
                <w:rFonts w:ascii="Segoe UI" w:hAnsi="Segoe UI" w:cs="Segoe UI"/>
                <w:sz w:val="20"/>
                <w:lang w:val="kk-KZ" w:eastAsia="zh-CN"/>
              </w:rPr>
            </w:pPr>
            <w:r w:rsidRPr="009B23B7">
              <w:rPr>
                <w:rFonts w:ascii="Segoe UI" w:hAnsi="Segoe UI" w:cs="Segoe UI"/>
                <w:sz w:val="20"/>
                <w:lang w:val="kk-KZ"/>
              </w:rPr>
              <w:t>3.8</w:t>
            </w:r>
          </w:p>
        </w:tc>
      </w:tr>
      <w:tr w:rsidR="00752F5C" w:rsidRPr="009B23B7" w:rsidTr="00592457">
        <w:trPr>
          <w:trHeight w:val="285"/>
        </w:trPr>
        <w:tc>
          <w:tcPr>
            <w:tcW w:w="6030" w:type="dxa"/>
            <w:tcBorders>
              <w:top w:val="nil"/>
              <w:left w:val="nil"/>
              <w:bottom w:val="nil"/>
              <w:right w:val="nil"/>
            </w:tcBorders>
            <w:shd w:val="clear" w:color="000000" w:fill="FFFFFF"/>
            <w:noWrap/>
            <w:vAlign w:val="bottom"/>
            <w:hideMark/>
          </w:tcPr>
          <w:p w:rsidR="00752F5C" w:rsidRPr="009B23B7" w:rsidRDefault="00752F5C" w:rsidP="00567EAE">
            <w:pPr>
              <w:ind w:firstLineChars="200" w:firstLine="400"/>
              <w:jc w:val="both"/>
              <w:rPr>
                <w:rFonts w:ascii="Segoe UI" w:hAnsi="Segoe UI" w:cs="Segoe UI"/>
                <w:sz w:val="20"/>
                <w:lang w:val="kk-KZ" w:eastAsia="zh-CN"/>
              </w:rPr>
            </w:pPr>
            <w:r w:rsidRPr="009B23B7">
              <w:rPr>
                <w:rFonts w:ascii="Segoe UI" w:hAnsi="Segoe UI" w:cs="Segoe UI"/>
                <w:sz w:val="20"/>
                <w:lang w:val="kk-KZ" w:eastAsia="zh-CN"/>
              </w:rPr>
              <w:t xml:space="preserve">Нақты мұнай </w:t>
            </w:r>
          </w:p>
        </w:tc>
        <w:tc>
          <w:tcPr>
            <w:tcW w:w="720" w:type="dxa"/>
            <w:gridSpan w:val="2"/>
            <w:tcBorders>
              <w:top w:val="nil"/>
              <w:left w:val="nil"/>
              <w:bottom w:val="nil"/>
              <w:right w:val="nil"/>
            </w:tcBorders>
            <w:shd w:val="clear" w:color="000000" w:fill="FFFFFF"/>
            <w:noWrap/>
            <w:vAlign w:val="bottom"/>
            <w:hideMark/>
          </w:tcPr>
          <w:p w:rsidR="00752F5C" w:rsidRPr="009B23B7" w:rsidRDefault="00752F5C" w:rsidP="00567EAE">
            <w:pPr>
              <w:jc w:val="both"/>
              <w:rPr>
                <w:rFonts w:ascii="Segoe UI" w:hAnsi="Segoe UI" w:cs="Segoe UI"/>
                <w:sz w:val="20"/>
                <w:lang w:val="kk-KZ" w:eastAsia="zh-CN"/>
              </w:rPr>
            </w:pPr>
            <w:r w:rsidRPr="009B23B7">
              <w:rPr>
                <w:rFonts w:ascii="Segoe UI" w:hAnsi="Segoe UI" w:cs="Segoe UI"/>
                <w:sz w:val="20"/>
                <w:lang w:val="kk-KZ"/>
              </w:rPr>
              <w:t>4.5</w:t>
            </w:r>
          </w:p>
        </w:tc>
        <w:tc>
          <w:tcPr>
            <w:tcW w:w="720" w:type="dxa"/>
            <w:gridSpan w:val="2"/>
            <w:tcBorders>
              <w:top w:val="nil"/>
              <w:left w:val="nil"/>
              <w:bottom w:val="nil"/>
              <w:right w:val="nil"/>
            </w:tcBorders>
            <w:shd w:val="clear" w:color="000000" w:fill="FFFFFF"/>
            <w:noWrap/>
            <w:vAlign w:val="bottom"/>
            <w:hideMark/>
          </w:tcPr>
          <w:p w:rsidR="00752F5C" w:rsidRPr="009B23B7" w:rsidRDefault="00752F5C" w:rsidP="00567EAE">
            <w:pPr>
              <w:jc w:val="both"/>
              <w:rPr>
                <w:rFonts w:ascii="Segoe UI" w:hAnsi="Segoe UI" w:cs="Segoe UI"/>
                <w:sz w:val="20"/>
                <w:lang w:val="kk-KZ" w:eastAsia="zh-CN"/>
              </w:rPr>
            </w:pPr>
            <w:r w:rsidRPr="009B23B7">
              <w:rPr>
                <w:rFonts w:ascii="Segoe UI" w:hAnsi="Segoe UI" w:cs="Segoe UI"/>
                <w:sz w:val="20"/>
                <w:lang w:val="kk-KZ"/>
              </w:rPr>
              <w:t>0.1</w:t>
            </w:r>
          </w:p>
        </w:tc>
        <w:tc>
          <w:tcPr>
            <w:tcW w:w="868" w:type="dxa"/>
            <w:tcBorders>
              <w:top w:val="nil"/>
              <w:left w:val="nil"/>
              <w:bottom w:val="nil"/>
              <w:right w:val="nil"/>
            </w:tcBorders>
            <w:shd w:val="clear" w:color="000000" w:fill="FFFFFF"/>
            <w:noWrap/>
            <w:vAlign w:val="bottom"/>
            <w:hideMark/>
          </w:tcPr>
          <w:p w:rsidR="00752F5C" w:rsidRPr="009B23B7" w:rsidRDefault="00752F5C" w:rsidP="00567EAE">
            <w:pPr>
              <w:jc w:val="both"/>
              <w:rPr>
                <w:rFonts w:ascii="Segoe UI" w:hAnsi="Segoe UI" w:cs="Segoe UI"/>
                <w:sz w:val="20"/>
                <w:lang w:val="kk-KZ" w:eastAsia="zh-CN"/>
              </w:rPr>
            </w:pPr>
            <w:r w:rsidRPr="009B23B7">
              <w:rPr>
                <w:rFonts w:ascii="Segoe UI" w:hAnsi="Segoe UI" w:cs="Segoe UI"/>
                <w:sz w:val="20"/>
                <w:lang w:val="kk-KZ"/>
              </w:rPr>
              <w:t>-6.0</w:t>
            </w:r>
          </w:p>
        </w:tc>
        <w:tc>
          <w:tcPr>
            <w:tcW w:w="868" w:type="dxa"/>
            <w:gridSpan w:val="2"/>
            <w:tcBorders>
              <w:top w:val="nil"/>
              <w:left w:val="nil"/>
              <w:bottom w:val="nil"/>
              <w:right w:val="nil"/>
            </w:tcBorders>
            <w:shd w:val="clear" w:color="000000" w:fill="FFFFFF"/>
            <w:noWrap/>
            <w:vAlign w:val="bottom"/>
            <w:hideMark/>
          </w:tcPr>
          <w:p w:rsidR="00752F5C" w:rsidRPr="009B23B7" w:rsidRDefault="00752F5C" w:rsidP="00567EAE">
            <w:pPr>
              <w:jc w:val="both"/>
              <w:rPr>
                <w:rFonts w:ascii="Segoe UI" w:hAnsi="Segoe UI" w:cs="Segoe UI"/>
                <w:sz w:val="20"/>
                <w:lang w:val="kk-KZ" w:eastAsia="zh-CN"/>
              </w:rPr>
            </w:pPr>
            <w:r w:rsidRPr="009B23B7">
              <w:rPr>
                <w:rFonts w:ascii="Segoe UI" w:hAnsi="Segoe UI" w:cs="Segoe UI"/>
                <w:sz w:val="20"/>
                <w:lang w:val="kk-KZ"/>
              </w:rPr>
              <w:t>2.4</w:t>
            </w:r>
          </w:p>
        </w:tc>
        <w:tc>
          <w:tcPr>
            <w:tcW w:w="868" w:type="dxa"/>
            <w:gridSpan w:val="2"/>
            <w:tcBorders>
              <w:top w:val="nil"/>
              <w:left w:val="nil"/>
              <w:bottom w:val="nil"/>
              <w:right w:val="nil"/>
            </w:tcBorders>
            <w:shd w:val="clear" w:color="000000" w:fill="FFFFFF"/>
            <w:noWrap/>
            <w:vAlign w:val="bottom"/>
            <w:hideMark/>
          </w:tcPr>
          <w:p w:rsidR="00752F5C" w:rsidRPr="009B23B7" w:rsidRDefault="00752F5C" w:rsidP="00567EAE">
            <w:pPr>
              <w:jc w:val="both"/>
              <w:rPr>
                <w:rFonts w:ascii="Segoe UI" w:hAnsi="Segoe UI" w:cs="Segoe UI"/>
                <w:sz w:val="20"/>
                <w:lang w:val="kk-KZ" w:eastAsia="zh-CN"/>
              </w:rPr>
            </w:pPr>
            <w:r w:rsidRPr="009B23B7">
              <w:rPr>
                <w:rFonts w:ascii="Segoe UI" w:hAnsi="Segoe UI" w:cs="Segoe UI"/>
                <w:sz w:val="20"/>
                <w:lang w:val="kk-KZ"/>
              </w:rPr>
              <w:t>3.6</w:t>
            </w:r>
          </w:p>
        </w:tc>
      </w:tr>
      <w:tr w:rsidR="00752F5C" w:rsidRPr="009B23B7" w:rsidTr="00592457">
        <w:trPr>
          <w:trHeight w:val="285"/>
        </w:trPr>
        <w:tc>
          <w:tcPr>
            <w:tcW w:w="6030" w:type="dxa"/>
            <w:tcBorders>
              <w:top w:val="nil"/>
              <w:left w:val="nil"/>
              <w:bottom w:val="nil"/>
              <w:right w:val="nil"/>
            </w:tcBorders>
            <w:shd w:val="clear" w:color="000000" w:fill="FFFFFF"/>
            <w:noWrap/>
            <w:vAlign w:val="bottom"/>
            <w:hideMark/>
          </w:tcPr>
          <w:p w:rsidR="00752F5C" w:rsidRPr="009B23B7" w:rsidRDefault="00752F5C" w:rsidP="00567EAE">
            <w:pPr>
              <w:ind w:firstLineChars="200" w:firstLine="400"/>
              <w:jc w:val="both"/>
              <w:rPr>
                <w:rFonts w:ascii="Segoe UI" w:hAnsi="Segoe UI" w:cs="Segoe UI"/>
                <w:sz w:val="20"/>
                <w:lang w:val="kk-KZ" w:eastAsia="zh-CN"/>
              </w:rPr>
            </w:pPr>
            <w:r w:rsidRPr="009B23B7">
              <w:rPr>
                <w:rFonts w:ascii="Segoe UI" w:hAnsi="Segoe UI" w:cs="Segoe UI"/>
                <w:sz w:val="20"/>
                <w:lang w:val="kk-KZ" w:eastAsia="zh-CN"/>
              </w:rPr>
              <w:t xml:space="preserve">Нақты мұнаймен байланысты емес </w:t>
            </w:r>
          </w:p>
        </w:tc>
        <w:tc>
          <w:tcPr>
            <w:tcW w:w="720" w:type="dxa"/>
            <w:gridSpan w:val="2"/>
            <w:tcBorders>
              <w:top w:val="nil"/>
              <w:left w:val="nil"/>
              <w:bottom w:val="nil"/>
              <w:right w:val="nil"/>
            </w:tcBorders>
            <w:shd w:val="clear" w:color="000000" w:fill="FFFFFF"/>
            <w:noWrap/>
            <w:vAlign w:val="bottom"/>
            <w:hideMark/>
          </w:tcPr>
          <w:p w:rsidR="00752F5C" w:rsidRPr="009B23B7" w:rsidRDefault="00752F5C" w:rsidP="00567EAE">
            <w:pPr>
              <w:jc w:val="both"/>
              <w:rPr>
                <w:rFonts w:ascii="Segoe UI" w:hAnsi="Segoe UI" w:cs="Segoe UI"/>
                <w:sz w:val="20"/>
                <w:lang w:val="kk-KZ" w:eastAsia="zh-CN"/>
              </w:rPr>
            </w:pPr>
            <w:r w:rsidRPr="009B23B7">
              <w:rPr>
                <w:rFonts w:ascii="Segoe UI" w:hAnsi="Segoe UI" w:cs="Segoe UI"/>
                <w:sz w:val="20"/>
                <w:lang w:val="kk-KZ"/>
              </w:rPr>
              <w:t>4.0</w:t>
            </w:r>
          </w:p>
        </w:tc>
        <w:tc>
          <w:tcPr>
            <w:tcW w:w="720" w:type="dxa"/>
            <w:gridSpan w:val="2"/>
            <w:tcBorders>
              <w:top w:val="nil"/>
              <w:left w:val="nil"/>
              <w:bottom w:val="nil"/>
              <w:right w:val="nil"/>
            </w:tcBorders>
            <w:shd w:val="clear" w:color="000000" w:fill="FFFFFF"/>
            <w:noWrap/>
            <w:vAlign w:val="bottom"/>
            <w:hideMark/>
          </w:tcPr>
          <w:p w:rsidR="00752F5C" w:rsidRPr="009B23B7" w:rsidRDefault="00752F5C" w:rsidP="00567EAE">
            <w:pPr>
              <w:jc w:val="both"/>
              <w:rPr>
                <w:rFonts w:ascii="Segoe UI" w:hAnsi="Segoe UI" w:cs="Segoe UI"/>
                <w:sz w:val="20"/>
                <w:lang w:val="kk-KZ" w:eastAsia="zh-CN"/>
              </w:rPr>
            </w:pPr>
            <w:r w:rsidRPr="009B23B7">
              <w:rPr>
                <w:rFonts w:ascii="Segoe UI" w:hAnsi="Segoe UI" w:cs="Segoe UI"/>
                <w:sz w:val="20"/>
                <w:lang w:val="kk-KZ"/>
              </w:rPr>
              <w:t>5.7</w:t>
            </w:r>
          </w:p>
        </w:tc>
        <w:tc>
          <w:tcPr>
            <w:tcW w:w="868" w:type="dxa"/>
            <w:tcBorders>
              <w:top w:val="nil"/>
              <w:left w:val="nil"/>
              <w:bottom w:val="nil"/>
              <w:right w:val="nil"/>
            </w:tcBorders>
            <w:shd w:val="clear" w:color="000000" w:fill="FFFFFF"/>
            <w:noWrap/>
            <w:vAlign w:val="bottom"/>
            <w:hideMark/>
          </w:tcPr>
          <w:p w:rsidR="00752F5C" w:rsidRPr="009B23B7" w:rsidRDefault="00752F5C" w:rsidP="00567EAE">
            <w:pPr>
              <w:jc w:val="both"/>
              <w:rPr>
                <w:rFonts w:ascii="Segoe UI" w:hAnsi="Segoe UI" w:cs="Segoe UI"/>
                <w:sz w:val="20"/>
                <w:lang w:val="kk-KZ" w:eastAsia="zh-CN"/>
              </w:rPr>
            </w:pPr>
            <w:r w:rsidRPr="009B23B7">
              <w:rPr>
                <w:rFonts w:ascii="Segoe UI" w:hAnsi="Segoe UI" w:cs="Segoe UI"/>
                <w:sz w:val="20"/>
                <w:lang w:val="kk-KZ"/>
              </w:rPr>
              <w:t>-1.8</w:t>
            </w:r>
          </w:p>
        </w:tc>
        <w:tc>
          <w:tcPr>
            <w:tcW w:w="868" w:type="dxa"/>
            <w:gridSpan w:val="2"/>
            <w:tcBorders>
              <w:top w:val="nil"/>
              <w:left w:val="nil"/>
              <w:bottom w:val="nil"/>
              <w:right w:val="nil"/>
            </w:tcBorders>
            <w:shd w:val="clear" w:color="000000" w:fill="FFFFFF"/>
            <w:noWrap/>
            <w:vAlign w:val="bottom"/>
            <w:hideMark/>
          </w:tcPr>
          <w:p w:rsidR="00752F5C" w:rsidRPr="009B23B7" w:rsidRDefault="00752F5C" w:rsidP="00567EAE">
            <w:pPr>
              <w:jc w:val="both"/>
              <w:rPr>
                <w:rFonts w:ascii="Segoe UI" w:hAnsi="Segoe UI" w:cs="Segoe UI"/>
                <w:sz w:val="20"/>
                <w:lang w:val="kk-KZ" w:eastAsia="zh-CN"/>
              </w:rPr>
            </w:pPr>
            <w:r w:rsidRPr="009B23B7">
              <w:rPr>
                <w:rFonts w:ascii="Segoe UI" w:hAnsi="Segoe UI" w:cs="Segoe UI"/>
                <w:sz w:val="20"/>
                <w:lang w:val="kk-KZ"/>
              </w:rPr>
              <w:t>3.5</w:t>
            </w:r>
          </w:p>
        </w:tc>
        <w:tc>
          <w:tcPr>
            <w:tcW w:w="868" w:type="dxa"/>
            <w:gridSpan w:val="2"/>
            <w:tcBorders>
              <w:top w:val="nil"/>
              <w:left w:val="nil"/>
              <w:bottom w:val="nil"/>
              <w:right w:val="nil"/>
            </w:tcBorders>
            <w:shd w:val="clear" w:color="000000" w:fill="FFFFFF"/>
            <w:noWrap/>
            <w:vAlign w:val="bottom"/>
            <w:hideMark/>
          </w:tcPr>
          <w:p w:rsidR="00752F5C" w:rsidRPr="009B23B7" w:rsidRDefault="00752F5C" w:rsidP="00567EAE">
            <w:pPr>
              <w:jc w:val="both"/>
              <w:rPr>
                <w:rFonts w:ascii="Segoe UI" w:hAnsi="Segoe UI" w:cs="Segoe UI"/>
                <w:sz w:val="20"/>
                <w:lang w:val="kk-KZ" w:eastAsia="zh-CN"/>
              </w:rPr>
            </w:pPr>
            <w:r w:rsidRPr="009B23B7">
              <w:rPr>
                <w:rFonts w:ascii="Segoe UI" w:hAnsi="Segoe UI" w:cs="Segoe UI"/>
                <w:sz w:val="20"/>
                <w:lang w:val="kk-KZ"/>
              </w:rPr>
              <w:t>3.8</w:t>
            </w:r>
          </w:p>
        </w:tc>
      </w:tr>
      <w:tr w:rsidR="00752F5C" w:rsidRPr="009B23B7" w:rsidTr="00592457">
        <w:trPr>
          <w:trHeight w:val="285"/>
        </w:trPr>
        <w:tc>
          <w:tcPr>
            <w:tcW w:w="6030" w:type="dxa"/>
            <w:tcBorders>
              <w:top w:val="nil"/>
              <w:left w:val="nil"/>
              <w:bottom w:val="nil"/>
              <w:right w:val="nil"/>
            </w:tcBorders>
            <w:shd w:val="clear" w:color="000000" w:fill="FFFFFF"/>
            <w:noWrap/>
            <w:vAlign w:val="bottom"/>
            <w:hideMark/>
          </w:tcPr>
          <w:p w:rsidR="00752F5C" w:rsidRPr="009B23B7" w:rsidRDefault="00752F5C" w:rsidP="00567EAE">
            <w:pPr>
              <w:ind w:firstLineChars="200" w:firstLine="400"/>
              <w:jc w:val="both"/>
              <w:rPr>
                <w:rFonts w:ascii="Segoe UI" w:hAnsi="Segoe UI" w:cs="Segoe UI"/>
                <w:sz w:val="20"/>
                <w:lang w:val="kk-KZ" w:eastAsia="zh-CN"/>
              </w:rPr>
            </w:pPr>
            <w:r w:rsidRPr="009B23B7">
              <w:rPr>
                <w:rFonts w:ascii="Segoe UI" w:hAnsi="Segoe UI" w:cs="Segoe UI"/>
                <w:sz w:val="20"/>
                <w:lang w:val="kk-KZ" w:eastAsia="zh-CN"/>
              </w:rPr>
              <w:t>Мұнай мен газ конденсатын өндіру (млн. тонна)</w:t>
            </w:r>
          </w:p>
        </w:tc>
        <w:tc>
          <w:tcPr>
            <w:tcW w:w="720" w:type="dxa"/>
            <w:gridSpan w:val="2"/>
            <w:tcBorders>
              <w:top w:val="nil"/>
              <w:left w:val="nil"/>
              <w:bottom w:val="nil"/>
              <w:right w:val="nil"/>
            </w:tcBorders>
            <w:shd w:val="clear" w:color="000000" w:fill="FFFFFF"/>
            <w:noWrap/>
            <w:vAlign w:val="bottom"/>
            <w:hideMark/>
          </w:tcPr>
          <w:p w:rsidR="00752F5C" w:rsidRPr="009B23B7" w:rsidRDefault="00752F5C" w:rsidP="00567EAE">
            <w:pPr>
              <w:jc w:val="both"/>
              <w:rPr>
                <w:rFonts w:ascii="Segoe UI" w:hAnsi="Segoe UI" w:cs="Segoe UI"/>
                <w:sz w:val="20"/>
                <w:lang w:val="kk-KZ" w:eastAsia="zh-CN"/>
              </w:rPr>
            </w:pPr>
            <w:r w:rsidRPr="009B23B7">
              <w:rPr>
                <w:rFonts w:ascii="Segoe UI" w:hAnsi="Segoe UI" w:cs="Segoe UI"/>
                <w:sz w:val="20"/>
                <w:lang w:val="kk-KZ"/>
              </w:rPr>
              <w:t>90</w:t>
            </w:r>
          </w:p>
        </w:tc>
        <w:tc>
          <w:tcPr>
            <w:tcW w:w="720" w:type="dxa"/>
            <w:gridSpan w:val="2"/>
            <w:tcBorders>
              <w:top w:val="nil"/>
              <w:left w:val="nil"/>
              <w:bottom w:val="nil"/>
              <w:right w:val="nil"/>
            </w:tcBorders>
            <w:shd w:val="clear" w:color="000000" w:fill="FFFFFF"/>
            <w:noWrap/>
            <w:vAlign w:val="bottom"/>
            <w:hideMark/>
          </w:tcPr>
          <w:p w:rsidR="00752F5C" w:rsidRPr="009B23B7" w:rsidRDefault="00752F5C" w:rsidP="00567EAE">
            <w:pPr>
              <w:jc w:val="both"/>
              <w:rPr>
                <w:rFonts w:ascii="Segoe UI" w:hAnsi="Segoe UI" w:cs="Segoe UI"/>
                <w:sz w:val="20"/>
                <w:lang w:val="kk-KZ" w:eastAsia="zh-CN"/>
              </w:rPr>
            </w:pPr>
            <w:r w:rsidRPr="009B23B7">
              <w:rPr>
                <w:rFonts w:ascii="Segoe UI" w:hAnsi="Segoe UI" w:cs="Segoe UI"/>
                <w:sz w:val="20"/>
                <w:lang w:val="kk-KZ"/>
              </w:rPr>
              <w:t>90</w:t>
            </w:r>
          </w:p>
        </w:tc>
        <w:tc>
          <w:tcPr>
            <w:tcW w:w="868" w:type="dxa"/>
            <w:tcBorders>
              <w:top w:val="nil"/>
              <w:left w:val="nil"/>
              <w:bottom w:val="nil"/>
              <w:right w:val="nil"/>
            </w:tcBorders>
            <w:shd w:val="clear" w:color="000000" w:fill="FFFFFF"/>
            <w:noWrap/>
            <w:vAlign w:val="bottom"/>
            <w:hideMark/>
          </w:tcPr>
          <w:p w:rsidR="00752F5C" w:rsidRPr="009B23B7" w:rsidRDefault="00752F5C" w:rsidP="00567EAE">
            <w:pPr>
              <w:jc w:val="both"/>
              <w:rPr>
                <w:rFonts w:ascii="Segoe UI" w:hAnsi="Segoe UI" w:cs="Segoe UI"/>
                <w:sz w:val="20"/>
                <w:lang w:val="kk-KZ" w:eastAsia="zh-CN"/>
              </w:rPr>
            </w:pPr>
            <w:r w:rsidRPr="009B23B7">
              <w:rPr>
                <w:rFonts w:ascii="Segoe UI" w:hAnsi="Segoe UI" w:cs="Segoe UI"/>
                <w:sz w:val="20"/>
                <w:lang w:val="kk-KZ"/>
              </w:rPr>
              <w:t>85</w:t>
            </w:r>
          </w:p>
        </w:tc>
        <w:tc>
          <w:tcPr>
            <w:tcW w:w="868" w:type="dxa"/>
            <w:gridSpan w:val="2"/>
            <w:tcBorders>
              <w:top w:val="nil"/>
              <w:left w:val="nil"/>
              <w:bottom w:val="nil"/>
              <w:right w:val="nil"/>
            </w:tcBorders>
            <w:shd w:val="clear" w:color="000000" w:fill="FFFFFF"/>
            <w:noWrap/>
            <w:vAlign w:val="bottom"/>
            <w:hideMark/>
          </w:tcPr>
          <w:p w:rsidR="00752F5C" w:rsidRPr="009B23B7" w:rsidRDefault="00752F5C" w:rsidP="00567EAE">
            <w:pPr>
              <w:jc w:val="both"/>
              <w:rPr>
                <w:rFonts w:ascii="Segoe UI" w:hAnsi="Segoe UI" w:cs="Segoe UI"/>
                <w:sz w:val="20"/>
                <w:lang w:val="kk-KZ" w:eastAsia="zh-CN"/>
              </w:rPr>
            </w:pPr>
            <w:r w:rsidRPr="009B23B7">
              <w:rPr>
                <w:rFonts w:ascii="Segoe UI" w:hAnsi="Segoe UI" w:cs="Segoe UI"/>
                <w:sz w:val="20"/>
                <w:lang w:val="kk-KZ"/>
              </w:rPr>
              <w:t>87</w:t>
            </w:r>
          </w:p>
        </w:tc>
        <w:tc>
          <w:tcPr>
            <w:tcW w:w="868" w:type="dxa"/>
            <w:gridSpan w:val="2"/>
            <w:tcBorders>
              <w:top w:val="nil"/>
              <w:left w:val="nil"/>
              <w:bottom w:val="nil"/>
              <w:right w:val="nil"/>
            </w:tcBorders>
            <w:shd w:val="clear" w:color="000000" w:fill="FFFFFF"/>
            <w:noWrap/>
            <w:vAlign w:val="bottom"/>
            <w:hideMark/>
          </w:tcPr>
          <w:p w:rsidR="00752F5C" w:rsidRPr="009B23B7" w:rsidRDefault="00752F5C" w:rsidP="00567EAE">
            <w:pPr>
              <w:jc w:val="both"/>
              <w:rPr>
                <w:rFonts w:ascii="Segoe UI" w:hAnsi="Segoe UI" w:cs="Segoe UI"/>
                <w:sz w:val="20"/>
                <w:lang w:val="kk-KZ" w:eastAsia="zh-CN"/>
              </w:rPr>
            </w:pPr>
            <w:r w:rsidRPr="009B23B7">
              <w:rPr>
                <w:rFonts w:ascii="Segoe UI" w:hAnsi="Segoe UI" w:cs="Segoe UI"/>
                <w:sz w:val="20"/>
                <w:lang w:val="kk-KZ"/>
              </w:rPr>
              <w:t>90</w:t>
            </w:r>
          </w:p>
        </w:tc>
      </w:tr>
      <w:tr w:rsidR="00752F5C" w:rsidRPr="009B23B7" w:rsidTr="00592457">
        <w:trPr>
          <w:trHeight w:val="285"/>
        </w:trPr>
        <w:tc>
          <w:tcPr>
            <w:tcW w:w="6030" w:type="dxa"/>
            <w:tcBorders>
              <w:top w:val="nil"/>
              <w:left w:val="nil"/>
              <w:bottom w:val="nil"/>
              <w:right w:val="nil"/>
            </w:tcBorders>
            <w:shd w:val="clear" w:color="000000" w:fill="FFFFFF"/>
            <w:noWrap/>
            <w:vAlign w:val="bottom"/>
            <w:hideMark/>
          </w:tcPr>
          <w:p w:rsidR="00752F5C" w:rsidRPr="009B23B7" w:rsidRDefault="00752F5C" w:rsidP="00567EAE">
            <w:pPr>
              <w:ind w:firstLineChars="100" w:firstLine="200"/>
              <w:jc w:val="both"/>
              <w:rPr>
                <w:rFonts w:ascii="Segoe UI" w:hAnsi="Segoe UI" w:cs="Segoe UI"/>
                <w:sz w:val="20"/>
                <w:lang w:val="kk-KZ" w:eastAsia="zh-CN"/>
              </w:rPr>
            </w:pPr>
            <w:r w:rsidRPr="009B23B7">
              <w:rPr>
                <w:rFonts w:ascii="Segoe UI" w:hAnsi="Segoe UI" w:cs="Segoe UI"/>
                <w:sz w:val="20"/>
                <w:lang w:val="kk-KZ" w:eastAsia="zh-CN"/>
              </w:rPr>
              <w:t> </w:t>
            </w:r>
          </w:p>
        </w:tc>
        <w:tc>
          <w:tcPr>
            <w:tcW w:w="720" w:type="dxa"/>
            <w:gridSpan w:val="2"/>
            <w:tcBorders>
              <w:top w:val="nil"/>
              <w:left w:val="nil"/>
              <w:bottom w:val="nil"/>
              <w:right w:val="nil"/>
            </w:tcBorders>
            <w:shd w:val="clear" w:color="000000" w:fill="FFFFFF"/>
            <w:noWrap/>
            <w:vAlign w:val="bottom"/>
            <w:hideMark/>
          </w:tcPr>
          <w:p w:rsidR="00752F5C" w:rsidRPr="009B23B7" w:rsidRDefault="00752F5C" w:rsidP="00567EAE">
            <w:pPr>
              <w:jc w:val="both"/>
              <w:rPr>
                <w:rFonts w:ascii="Segoe UI" w:hAnsi="Segoe UI" w:cs="Segoe UI"/>
                <w:color w:val="FF0000"/>
                <w:sz w:val="20"/>
                <w:lang w:val="kk-KZ" w:eastAsia="zh-CN"/>
              </w:rPr>
            </w:pPr>
            <w:r w:rsidRPr="009B23B7">
              <w:rPr>
                <w:rFonts w:ascii="Segoe UI" w:hAnsi="Segoe UI" w:cs="Segoe UI"/>
                <w:color w:val="FF0000"/>
                <w:sz w:val="20"/>
                <w:lang w:val="kk-KZ" w:eastAsia="zh-CN"/>
              </w:rPr>
              <w:t> </w:t>
            </w:r>
          </w:p>
        </w:tc>
        <w:tc>
          <w:tcPr>
            <w:tcW w:w="720" w:type="dxa"/>
            <w:gridSpan w:val="2"/>
            <w:tcBorders>
              <w:top w:val="nil"/>
              <w:left w:val="nil"/>
              <w:bottom w:val="nil"/>
              <w:right w:val="nil"/>
            </w:tcBorders>
            <w:shd w:val="clear" w:color="000000" w:fill="FFFFFF"/>
            <w:noWrap/>
            <w:vAlign w:val="bottom"/>
            <w:hideMark/>
          </w:tcPr>
          <w:p w:rsidR="00752F5C" w:rsidRPr="009B23B7" w:rsidRDefault="00752F5C" w:rsidP="00567EAE">
            <w:pPr>
              <w:jc w:val="both"/>
              <w:rPr>
                <w:rFonts w:ascii="Segoe UI" w:hAnsi="Segoe UI" w:cs="Segoe UI"/>
                <w:color w:val="FF0000"/>
                <w:sz w:val="20"/>
                <w:lang w:val="kk-KZ" w:eastAsia="zh-CN"/>
              </w:rPr>
            </w:pPr>
            <w:r w:rsidRPr="009B23B7">
              <w:rPr>
                <w:rFonts w:ascii="Segoe UI" w:hAnsi="Segoe UI" w:cs="Segoe UI"/>
                <w:color w:val="FF0000"/>
                <w:sz w:val="20"/>
                <w:lang w:val="kk-KZ" w:eastAsia="zh-CN"/>
              </w:rPr>
              <w:t> </w:t>
            </w:r>
          </w:p>
        </w:tc>
        <w:tc>
          <w:tcPr>
            <w:tcW w:w="868" w:type="dxa"/>
            <w:tcBorders>
              <w:top w:val="nil"/>
              <w:left w:val="nil"/>
              <w:bottom w:val="nil"/>
              <w:right w:val="nil"/>
            </w:tcBorders>
            <w:shd w:val="clear" w:color="000000" w:fill="FFFFFF"/>
            <w:noWrap/>
            <w:vAlign w:val="bottom"/>
            <w:hideMark/>
          </w:tcPr>
          <w:p w:rsidR="00752F5C" w:rsidRPr="009B23B7" w:rsidRDefault="00752F5C" w:rsidP="00567EAE">
            <w:pPr>
              <w:jc w:val="both"/>
              <w:rPr>
                <w:rFonts w:ascii="Segoe UI" w:hAnsi="Segoe UI" w:cs="Segoe UI"/>
                <w:sz w:val="20"/>
                <w:lang w:val="kk-KZ" w:eastAsia="zh-CN"/>
              </w:rPr>
            </w:pPr>
            <w:r w:rsidRPr="009B23B7">
              <w:rPr>
                <w:rFonts w:ascii="Segoe UI" w:hAnsi="Segoe UI" w:cs="Segoe UI"/>
                <w:sz w:val="20"/>
                <w:lang w:val="kk-KZ" w:eastAsia="zh-CN"/>
              </w:rPr>
              <w:t> </w:t>
            </w:r>
          </w:p>
        </w:tc>
        <w:tc>
          <w:tcPr>
            <w:tcW w:w="868" w:type="dxa"/>
            <w:gridSpan w:val="2"/>
            <w:tcBorders>
              <w:top w:val="nil"/>
              <w:left w:val="nil"/>
              <w:bottom w:val="nil"/>
              <w:right w:val="nil"/>
            </w:tcBorders>
            <w:shd w:val="clear" w:color="000000" w:fill="FFFFFF"/>
            <w:noWrap/>
            <w:vAlign w:val="bottom"/>
            <w:hideMark/>
          </w:tcPr>
          <w:p w:rsidR="00752F5C" w:rsidRPr="009B23B7" w:rsidRDefault="00752F5C" w:rsidP="00567EAE">
            <w:pPr>
              <w:jc w:val="both"/>
              <w:rPr>
                <w:rFonts w:ascii="Segoe UI" w:hAnsi="Segoe UI" w:cs="Segoe UI"/>
                <w:sz w:val="20"/>
                <w:lang w:val="kk-KZ" w:eastAsia="zh-CN"/>
              </w:rPr>
            </w:pPr>
            <w:r w:rsidRPr="009B23B7">
              <w:rPr>
                <w:rFonts w:ascii="Segoe UI" w:hAnsi="Segoe UI" w:cs="Segoe UI"/>
                <w:sz w:val="20"/>
                <w:lang w:val="kk-KZ" w:eastAsia="zh-CN"/>
              </w:rPr>
              <w:t> </w:t>
            </w:r>
          </w:p>
        </w:tc>
        <w:tc>
          <w:tcPr>
            <w:tcW w:w="868" w:type="dxa"/>
            <w:gridSpan w:val="2"/>
            <w:tcBorders>
              <w:top w:val="nil"/>
              <w:left w:val="nil"/>
              <w:bottom w:val="nil"/>
              <w:right w:val="nil"/>
            </w:tcBorders>
            <w:shd w:val="clear" w:color="000000" w:fill="FFFFFF"/>
            <w:noWrap/>
            <w:vAlign w:val="bottom"/>
            <w:hideMark/>
          </w:tcPr>
          <w:p w:rsidR="00752F5C" w:rsidRPr="009B23B7" w:rsidRDefault="00752F5C" w:rsidP="00567EAE">
            <w:pPr>
              <w:jc w:val="both"/>
              <w:rPr>
                <w:rFonts w:ascii="Segoe UI" w:hAnsi="Segoe UI" w:cs="Segoe UI"/>
                <w:sz w:val="20"/>
                <w:lang w:val="kk-KZ" w:eastAsia="zh-CN"/>
              </w:rPr>
            </w:pPr>
            <w:r w:rsidRPr="009B23B7">
              <w:rPr>
                <w:rFonts w:ascii="Segoe UI" w:hAnsi="Segoe UI" w:cs="Segoe UI"/>
                <w:sz w:val="20"/>
                <w:lang w:val="kk-KZ" w:eastAsia="zh-CN"/>
              </w:rPr>
              <w:t> </w:t>
            </w:r>
          </w:p>
        </w:tc>
      </w:tr>
      <w:tr w:rsidR="00752F5C" w:rsidRPr="009B23B7" w:rsidTr="00592457">
        <w:trPr>
          <w:trHeight w:val="285"/>
        </w:trPr>
        <w:tc>
          <w:tcPr>
            <w:tcW w:w="6030" w:type="dxa"/>
            <w:tcBorders>
              <w:top w:val="nil"/>
              <w:left w:val="nil"/>
              <w:bottom w:val="nil"/>
              <w:right w:val="nil"/>
            </w:tcBorders>
            <w:shd w:val="clear" w:color="000000" w:fill="FFFFFF"/>
            <w:noWrap/>
            <w:vAlign w:val="bottom"/>
            <w:hideMark/>
          </w:tcPr>
          <w:p w:rsidR="00752F5C" w:rsidRPr="009B23B7" w:rsidRDefault="00752F5C" w:rsidP="00567EAE">
            <w:pPr>
              <w:jc w:val="both"/>
              <w:rPr>
                <w:rFonts w:ascii="Segoe UI" w:hAnsi="Segoe UI" w:cs="Segoe UI"/>
                <w:b/>
                <w:bCs/>
                <w:sz w:val="20"/>
                <w:lang w:val="kk-KZ" w:eastAsia="zh-CN"/>
              </w:rPr>
            </w:pPr>
            <w:r w:rsidRPr="009B23B7">
              <w:rPr>
                <w:rFonts w:ascii="Segoe UI" w:hAnsi="Segoe UI" w:cs="Segoe UI"/>
                <w:b/>
                <w:bCs/>
                <w:sz w:val="20"/>
                <w:lang w:val="kk-KZ" w:eastAsia="zh-CN"/>
              </w:rPr>
              <w:t>Жұмыспен қамту</w:t>
            </w:r>
          </w:p>
        </w:tc>
        <w:tc>
          <w:tcPr>
            <w:tcW w:w="720" w:type="dxa"/>
            <w:gridSpan w:val="2"/>
            <w:tcBorders>
              <w:top w:val="nil"/>
              <w:left w:val="nil"/>
              <w:bottom w:val="nil"/>
              <w:right w:val="nil"/>
            </w:tcBorders>
            <w:shd w:val="clear" w:color="000000" w:fill="FFFFFF"/>
            <w:noWrap/>
            <w:vAlign w:val="bottom"/>
            <w:hideMark/>
          </w:tcPr>
          <w:p w:rsidR="00752F5C" w:rsidRPr="009B23B7" w:rsidRDefault="00752F5C" w:rsidP="00567EAE">
            <w:pPr>
              <w:jc w:val="both"/>
              <w:rPr>
                <w:rFonts w:ascii="Segoe UI" w:hAnsi="Segoe UI" w:cs="Segoe UI"/>
                <w:sz w:val="20"/>
                <w:lang w:val="kk-KZ" w:eastAsia="zh-CN"/>
              </w:rPr>
            </w:pPr>
            <w:r w:rsidRPr="009B23B7">
              <w:rPr>
                <w:rFonts w:ascii="Segoe UI" w:hAnsi="Segoe UI" w:cs="Segoe UI"/>
                <w:sz w:val="20"/>
                <w:lang w:val="kk-KZ" w:eastAsia="zh-CN"/>
              </w:rPr>
              <w:t> </w:t>
            </w:r>
          </w:p>
        </w:tc>
        <w:tc>
          <w:tcPr>
            <w:tcW w:w="720" w:type="dxa"/>
            <w:gridSpan w:val="2"/>
            <w:tcBorders>
              <w:top w:val="nil"/>
              <w:left w:val="nil"/>
              <w:bottom w:val="nil"/>
              <w:right w:val="nil"/>
            </w:tcBorders>
            <w:shd w:val="clear" w:color="000000" w:fill="FFFFFF"/>
            <w:noWrap/>
            <w:vAlign w:val="bottom"/>
            <w:hideMark/>
          </w:tcPr>
          <w:p w:rsidR="00752F5C" w:rsidRPr="009B23B7" w:rsidRDefault="00752F5C" w:rsidP="00567EAE">
            <w:pPr>
              <w:jc w:val="both"/>
              <w:rPr>
                <w:rFonts w:ascii="Segoe UI" w:hAnsi="Segoe UI" w:cs="Segoe UI"/>
                <w:sz w:val="20"/>
                <w:lang w:val="kk-KZ" w:eastAsia="zh-CN"/>
              </w:rPr>
            </w:pPr>
            <w:r w:rsidRPr="009B23B7">
              <w:rPr>
                <w:rFonts w:ascii="Segoe UI" w:hAnsi="Segoe UI" w:cs="Segoe UI"/>
                <w:sz w:val="20"/>
                <w:lang w:val="kk-KZ" w:eastAsia="zh-CN"/>
              </w:rPr>
              <w:t> </w:t>
            </w:r>
          </w:p>
        </w:tc>
        <w:tc>
          <w:tcPr>
            <w:tcW w:w="868" w:type="dxa"/>
            <w:tcBorders>
              <w:top w:val="nil"/>
              <w:left w:val="nil"/>
              <w:bottom w:val="nil"/>
              <w:right w:val="nil"/>
            </w:tcBorders>
            <w:shd w:val="clear" w:color="000000" w:fill="FFFFFF"/>
            <w:noWrap/>
            <w:vAlign w:val="bottom"/>
            <w:hideMark/>
          </w:tcPr>
          <w:p w:rsidR="00752F5C" w:rsidRPr="009B23B7" w:rsidRDefault="00752F5C" w:rsidP="00567EAE">
            <w:pPr>
              <w:jc w:val="both"/>
              <w:rPr>
                <w:rFonts w:ascii="Segoe UI" w:hAnsi="Segoe UI" w:cs="Segoe UI"/>
                <w:sz w:val="20"/>
                <w:lang w:val="kk-KZ" w:eastAsia="zh-CN"/>
              </w:rPr>
            </w:pPr>
            <w:r w:rsidRPr="009B23B7">
              <w:rPr>
                <w:rFonts w:ascii="Segoe UI" w:hAnsi="Segoe UI" w:cs="Segoe UI"/>
                <w:sz w:val="20"/>
                <w:lang w:val="kk-KZ" w:eastAsia="zh-CN"/>
              </w:rPr>
              <w:t> </w:t>
            </w:r>
          </w:p>
        </w:tc>
        <w:tc>
          <w:tcPr>
            <w:tcW w:w="868" w:type="dxa"/>
            <w:gridSpan w:val="2"/>
            <w:tcBorders>
              <w:top w:val="nil"/>
              <w:left w:val="nil"/>
              <w:bottom w:val="nil"/>
              <w:right w:val="nil"/>
            </w:tcBorders>
            <w:shd w:val="clear" w:color="000000" w:fill="FFFFFF"/>
            <w:noWrap/>
            <w:vAlign w:val="bottom"/>
            <w:hideMark/>
          </w:tcPr>
          <w:p w:rsidR="00752F5C" w:rsidRPr="009B23B7" w:rsidRDefault="00752F5C" w:rsidP="00567EAE">
            <w:pPr>
              <w:jc w:val="both"/>
              <w:rPr>
                <w:rFonts w:ascii="Segoe UI" w:hAnsi="Segoe UI" w:cs="Segoe UI"/>
                <w:sz w:val="20"/>
                <w:lang w:val="kk-KZ" w:eastAsia="zh-CN"/>
              </w:rPr>
            </w:pPr>
            <w:r w:rsidRPr="009B23B7">
              <w:rPr>
                <w:rFonts w:ascii="Segoe UI" w:hAnsi="Segoe UI" w:cs="Segoe UI"/>
                <w:sz w:val="20"/>
                <w:lang w:val="kk-KZ" w:eastAsia="zh-CN"/>
              </w:rPr>
              <w:t> </w:t>
            </w:r>
          </w:p>
        </w:tc>
        <w:tc>
          <w:tcPr>
            <w:tcW w:w="868" w:type="dxa"/>
            <w:gridSpan w:val="2"/>
            <w:tcBorders>
              <w:top w:val="nil"/>
              <w:left w:val="nil"/>
              <w:bottom w:val="nil"/>
              <w:right w:val="nil"/>
            </w:tcBorders>
            <w:shd w:val="clear" w:color="000000" w:fill="FFFFFF"/>
            <w:noWrap/>
            <w:vAlign w:val="bottom"/>
            <w:hideMark/>
          </w:tcPr>
          <w:p w:rsidR="00752F5C" w:rsidRPr="009B23B7" w:rsidRDefault="00752F5C" w:rsidP="00567EAE">
            <w:pPr>
              <w:jc w:val="both"/>
              <w:rPr>
                <w:rFonts w:ascii="Segoe UI" w:hAnsi="Segoe UI" w:cs="Segoe UI"/>
                <w:sz w:val="20"/>
                <w:lang w:val="kk-KZ" w:eastAsia="zh-CN"/>
              </w:rPr>
            </w:pPr>
            <w:r w:rsidRPr="009B23B7">
              <w:rPr>
                <w:rFonts w:ascii="Segoe UI" w:hAnsi="Segoe UI" w:cs="Segoe UI"/>
                <w:sz w:val="20"/>
                <w:lang w:val="kk-KZ" w:eastAsia="zh-CN"/>
              </w:rPr>
              <w:t> </w:t>
            </w:r>
          </w:p>
        </w:tc>
      </w:tr>
      <w:tr w:rsidR="00592457" w:rsidRPr="009B23B7" w:rsidTr="00592457">
        <w:trPr>
          <w:trHeight w:val="285"/>
        </w:trPr>
        <w:tc>
          <w:tcPr>
            <w:tcW w:w="6030" w:type="dxa"/>
            <w:tcBorders>
              <w:top w:val="nil"/>
              <w:left w:val="nil"/>
              <w:bottom w:val="nil"/>
              <w:right w:val="nil"/>
            </w:tcBorders>
            <w:shd w:val="clear" w:color="000000" w:fill="FFFFFF"/>
            <w:noWrap/>
            <w:vAlign w:val="bottom"/>
            <w:hideMark/>
          </w:tcPr>
          <w:p w:rsidR="00592457" w:rsidRPr="009B23B7" w:rsidRDefault="00592457" w:rsidP="00592457">
            <w:pPr>
              <w:ind w:firstLineChars="100" w:firstLine="200"/>
              <w:jc w:val="both"/>
              <w:rPr>
                <w:rFonts w:ascii="Segoe UI" w:hAnsi="Segoe UI" w:cs="Segoe UI"/>
                <w:sz w:val="20"/>
                <w:lang w:val="kk-KZ" w:eastAsia="zh-CN"/>
              </w:rPr>
            </w:pPr>
            <w:r w:rsidRPr="009B23B7">
              <w:rPr>
                <w:rFonts w:ascii="Segoe UI" w:hAnsi="Segoe UI" w:cs="Segoe UI"/>
                <w:sz w:val="20"/>
                <w:lang w:val="kk-KZ" w:eastAsia="zh-CN"/>
              </w:rPr>
              <w:t>Жұмыссыздық (%)</w:t>
            </w:r>
          </w:p>
        </w:tc>
        <w:tc>
          <w:tcPr>
            <w:tcW w:w="720"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rPr>
            </w:pPr>
            <w:r w:rsidRPr="009B23B7">
              <w:rPr>
                <w:rFonts w:ascii="Segoe UI" w:hAnsi="Segoe UI" w:cs="Segoe UI"/>
                <w:sz w:val="20"/>
                <w:lang w:val="kk-KZ"/>
              </w:rPr>
              <w:t>4.9</w:t>
            </w:r>
          </w:p>
        </w:tc>
        <w:tc>
          <w:tcPr>
            <w:tcW w:w="720"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rPr>
            </w:pPr>
            <w:r w:rsidRPr="009B23B7">
              <w:rPr>
                <w:rFonts w:ascii="Segoe UI" w:hAnsi="Segoe UI" w:cs="Segoe UI"/>
                <w:sz w:val="20"/>
                <w:lang w:val="kk-KZ"/>
              </w:rPr>
              <w:t>4.8</w:t>
            </w:r>
          </w:p>
        </w:tc>
        <w:tc>
          <w:tcPr>
            <w:tcW w:w="868" w:type="dxa"/>
            <w:tcBorders>
              <w:top w:val="nil"/>
              <w:left w:val="nil"/>
              <w:bottom w:val="nil"/>
              <w:right w:val="nil"/>
            </w:tcBorders>
            <w:shd w:val="clear" w:color="000000" w:fill="FFFFFF"/>
            <w:noWrap/>
            <w:vAlign w:val="bottom"/>
            <w:hideMark/>
          </w:tcPr>
          <w:p w:rsidR="00592457" w:rsidRPr="00676537" w:rsidRDefault="00592457" w:rsidP="00592457">
            <w:pPr>
              <w:tabs>
                <w:tab w:val="center" w:pos="4320"/>
                <w:tab w:val="right" w:pos="8640"/>
              </w:tabs>
              <w:jc w:val="both"/>
              <w:rPr>
                <w:rFonts w:ascii="Segoe UI" w:hAnsi="Segoe UI" w:cs="Segoe UI"/>
                <w:sz w:val="20"/>
                <w:lang w:val="ru-RU"/>
              </w:rPr>
            </w:pPr>
            <w:r>
              <w:rPr>
                <w:rFonts w:ascii="Segoe UI" w:hAnsi="Segoe UI" w:cs="Segoe UI"/>
                <w:sz w:val="20"/>
                <w:lang w:val="ru-RU"/>
              </w:rPr>
              <w:t>5,5</w:t>
            </w:r>
          </w:p>
        </w:tc>
        <w:tc>
          <w:tcPr>
            <w:tcW w:w="868" w:type="dxa"/>
            <w:gridSpan w:val="2"/>
            <w:tcBorders>
              <w:top w:val="nil"/>
              <w:left w:val="nil"/>
              <w:bottom w:val="nil"/>
              <w:right w:val="nil"/>
            </w:tcBorders>
            <w:shd w:val="clear" w:color="000000" w:fill="FFFFFF"/>
            <w:noWrap/>
            <w:vAlign w:val="bottom"/>
            <w:hideMark/>
          </w:tcPr>
          <w:p w:rsidR="00592457" w:rsidRPr="002B17A9" w:rsidRDefault="00592457" w:rsidP="00592457">
            <w:pPr>
              <w:jc w:val="both"/>
              <w:rPr>
                <w:rFonts w:ascii="Segoe UI" w:hAnsi="Segoe UI" w:cs="Segoe UI"/>
                <w:sz w:val="20"/>
              </w:rPr>
            </w:pPr>
            <w:r>
              <w:rPr>
                <w:rFonts w:ascii="Segoe UI" w:hAnsi="Segoe UI" w:cs="Segoe UI"/>
                <w:sz w:val="20"/>
              </w:rPr>
              <w:t>5.</w:t>
            </w:r>
            <w:r>
              <w:rPr>
                <w:rFonts w:ascii="Segoe UI" w:hAnsi="Segoe UI" w:cs="Segoe UI"/>
                <w:sz w:val="20"/>
                <w:lang w:val="ru-RU"/>
              </w:rPr>
              <w:t>2</w:t>
            </w:r>
          </w:p>
        </w:tc>
        <w:tc>
          <w:tcPr>
            <w:tcW w:w="868" w:type="dxa"/>
            <w:gridSpan w:val="2"/>
            <w:tcBorders>
              <w:top w:val="nil"/>
              <w:left w:val="nil"/>
              <w:bottom w:val="nil"/>
              <w:right w:val="nil"/>
            </w:tcBorders>
            <w:shd w:val="clear" w:color="000000" w:fill="FFFFFF"/>
            <w:noWrap/>
            <w:vAlign w:val="bottom"/>
            <w:hideMark/>
          </w:tcPr>
          <w:p w:rsidR="00592457" w:rsidRPr="00676537" w:rsidRDefault="00592457" w:rsidP="00592457">
            <w:pPr>
              <w:tabs>
                <w:tab w:val="center" w:pos="4320"/>
                <w:tab w:val="right" w:pos="8640"/>
              </w:tabs>
              <w:jc w:val="both"/>
              <w:rPr>
                <w:rFonts w:ascii="Segoe UI" w:hAnsi="Segoe UI" w:cs="Segoe UI"/>
                <w:sz w:val="20"/>
                <w:lang w:val="ru-RU"/>
              </w:rPr>
            </w:pPr>
            <w:r>
              <w:rPr>
                <w:rFonts w:ascii="Segoe UI" w:hAnsi="Segoe UI" w:cs="Segoe UI"/>
                <w:sz w:val="20"/>
                <w:lang w:val="ru-RU"/>
              </w:rPr>
              <w:t>5,0</w:t>
            </w:r>
          </w:p>
        </w:tc>
      </w:tr>
      <w:tr w:rsidR="00592457" w:rsidRPr="009B23B7" w:rsidTr="00592457">
        <w:trPr>
          <w:trHeight w:val="285"/>
        </w:trPr>
        <w:tc>
          <w:tcPr>
            <w:tcW w:w="6030" w:type="dxa"/>
            <w:tcBorders>
              <w:top w:val="nil"/>
              <w:left w:val="nil"/>
              <w:bottom w:val="nil"/>
              <w:right w:val="nil"/>
            </w:tcBorders>
            <w:shd w:val="clear" w:color="000000" w:fill="FFFFFF"/>
            <w:noWrap/>
            <w:vAlign w:val="bottom"/>
            <w:hideMark/>
          </w:tcPr>
          <w:p w:rsidR="00592457" w:rsidRPr="009B23B7" w:rsidRDefault="00592457" w:rsidP="00592457">
            <w:pPr>
              <w:ind w:firstLineChars="200" w:firstLine="400"/>
              <w:jc w:val="both"/>
              <w:rPr>
                <w:rFonts w:ascii="Segoe UI" w:hAnsi="Segoe UI" w:cs="Segoe UI"/>
                <w:sz w:val="20"/>
                <w:lang w:val="kk-KZ" w:eastAsia="zh-CN"/>
              </w:rPr>
            </w:pPr>
            <w:r w:rsidRPr="009B23B7">
              <w:rPr>
                <w:rFonts w:ascii="Segoe UI" w:hAnsi="Segoe UI" w:cs="Segoe UI"/>
                <w:sz w:val="20"/>
                <w:lang w:val="kk-KZ" w:eastAsia="zh-CN"/>
              </w:rPr>
              <w:t> </w:t>
            </w:r>
          </w:p>
        </w:tc>
        <w:tc>
          <w:tcPr>
            <w:tcW w:w="720"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color w:val="FF0000"/>
                <w:sz w:val="20"/>
                <w:lang w:val="kk-KZ" w:eastAsia="zh-CN"/>
              </w:rPr>
            </w:pPr>
            <w:r w:rsidRPr="009B23B7">
              <w:rPr>
                <w:rFonts w:ascii="Segoe UI" w:hAnsi="Segoe UI" w:cs="Segoe UI"/>
                <w:color w:val="FF0000"/>
                <w:sz w:val="20"/>
                <w:lang w:val="kk-KZ" w:eastAsia="zh-CN"/>
              </w:rPr>
              <w:t> </w:t>
            </w:r>
          </w:p>
        </w:tc>
        <w:tc>
          <w:tcPr>
            <w:tcW w:w="720"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color w:val="FF0000"/>
                <w:sz w:val="20"/>
                <w:lang w:val="kk-KZ" w:eastAsia="zh-CN"/>
              </w:rPr>
            </w:pPr>
            <w:r w:rsidRPr="009B23B7">
              <w:rPr>
                <w:rFonts w:ascii="Segoe UI" w:hAnsi="Segoe UI" w:cs="Segoe UI"/>
                <w:color w:val="FF0000"/>
                <w:sz w:val="20"/>
                <w:lang w:val="kk-KZ" w:eastAsia="zh-CN"/>
              </w:rPr>
              <w:t> </w:t>
            </w:r>
          </w:p>
        </w:tc>
        <w:tc>
          <w:tcPr>
            <w:tcW w:w="868" w:type="dxa"/>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eastAsia="zh-CN"/>
              </w:rPr>
              <w:t> </w:t>
            </w:r>
          </w:p>
        </w:tc>
        <w:tc>
          <w:tcPr>
            <w:tcW w:w="868"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eastAsia="zh-CN"/>
              </w:rPr>
              <w:t> </w:t>
            </w:r>
          </w:p>
        </w:tc>
        <w:tc>
          <w:tcPr>
            <w:tcW w:w="868"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eastAsia="zh-CN"/>
              </w:rPr>
              <w:t> </w:t>
            </w:r>
          </w:p>
        </w:tc>
      </w:tr>
      <w:tr w:rsidR="00592457" w:rsidRPr="009B23B7" w:rsidTr="00592457">
        <w:trPr>
          <w:trHeight w:val="285"/>
        </w:trPr>
        <w:tc>
          <w:tcPr>
            <w:tcW w:w="6030" w:type="dxa"/>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b/>
                <w:bCs/>
                <w:sz w:val="20"/>
                <w:lang w:val="kk-KZ" w:eastAsia="zh-CN"/>
              </w:rPr>
            </w:pPr>
            <w:r w:rsidRPr="009B23B7">
              <w:rPr>
                <w:rFonts w:ascii="Segoe UI" w:hAnsi="Segoe UI" w:cs="Segoe UI"/>
                <w:b/>
                <w:bCs/>
                <w:sz w:val="20"/>
                <w:lang w:val="kk-KZ" w:eastAsia="zh-CN"/>
              </w:rPr>
              <w:t>Баға</w:t>
            </w:r>
          </w:p>
        </w:tc>
        <w:tc>
          <w:tcPr>
            <w:tcW w:w="720"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color w:val="FF0000"/>
                <w:sz w:val="20"/>
                <w:lang w:val="kk-KZ" w:eastAsia="zh-CN"/>
              </w:rPr>
            </w:pPr>
            <w:r w:rsidRPr="009B23B7">
              <w:rPr>
                <w:rFonts w:ascii="Segoe UI" w:hAnsi="Segoe UI" w:cs="Segoe UI"/>
                <w:color w:val="FF0000"/>
                <w:sz w:val="20"/>
                <w:lang w:val="kk-KZ" w:eastAsia="zh-CN"/>
              </w:rPr>
              <w:t> </w:t>
            </w:r>
          </w:p>
        </w:tc>
        <w:tc>
          <w:tcPr>
            <w:tcW w:w="720"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color w:val="FF0000"/>
                <w:sz w:val="20"/>
                <w:lang w:val="kk-KZ" w:eastAsia="zh-CN"/>
              </w:rPr>
            </w:pPr>
            <w:r w:rsidRPr="009B23B7">
              <w:rPr>
                <w:rFonts w:ascii="Segoe UI" w:hAnsi="Segoe UI" w:cs="Segoe UI"/>
                <w:color w:val="FF0000"/>
                <w:sz w:val="20"/>
                <w:lang w:val="kk-KZ" w:eastAsia="zh-CN"/>
              </w:rPr>
              <w:t> </w:t>
            </w:r>
          </w:p>
        </w:tc>
        <w:tc>
          <w:tcPr>
            <w:tcW w:w="868" w:type="dxa"/>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eastAsia="zh-CN"/>
              </w:rPr>
              <w:t> </w:t>
            </w:r>
          </w:p>
        </w:tc>
        <w:tc>
          <w:tcPr>
            <w:tcW w:w="868"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eastAsia="zh-CN"/>
              </w:rPr>
              <w:t> </w:t>
            </w:r>
          </w:p>
        </w:tc>
        <w:tc>
          <w:tcPr>
            <w:tcW w:w="868"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eastAsia="zh-CN"/>
              </w:rPr>
              <w:t> </w:t>
            </w:r>
          </w:p>
        </w:tc>
      </w:tr>
      <w:tr w:rsidR="00592457" w:rsidRPr="009B23B7" w:rsidTr="00592457">
        <w:trPr>
          <w:trHeight w:val="285"/>
        </w:trPr>
        <w:tc>
          <w:tcPr>
            <w:tcW w:w="6030" w:type="dxa"/>
            <w:tcBorders>
              <w:top w:val="nil"/>
              <w:left w:val="nil"/>
              <w:bottom w:val="nil"/>
              <w:right w:val="nil"/>
            </w:tcBorders>
            <w:shd w:val="clear" w:color="000000" w:fill="FFFFFF"/>
            <w:noWrap/>
            <w:vAlign w:val="bottom"/>
            <w:hideMark/>
          </w:tcPr>
          <w:p w:rsidR="00592457" w:rsidRPr="009B23B7" w:rsidRDefault="00592457" w:rsidP="00592457">
            <w:pPr>
              <w:ind w:firstLineChars="100" w:firstLine="200"/>
              <w:jc w:val="both"/>
              <w:rPr>
                <w:rFonts w:ascii="Segoe UI" w:hAnsi="Segoe UI" w:cs="Segoe UI"/>
                <w:sz w:val="20"/>
                <w:lang w:val="kk-KZ" w:eastAsia="zh-CN"/>
              </w:rPr>
            </w:pPr>
            <w:r w:rsidRPr="009B23B7">
              <w:rPr>
                <w:rFonts w:ascii="Segoe UI" w:hAnsi="Segoe UI" w:cs="Segoe UI"/>
                <w:sz w:val="20"/>
                <w:lang w:val="kk-KZ" w:eastAsia="zh-CN"/>
              </w:rPr>
              <w:t>Инфляция (%)</w:t>
            </w:r>
          </w:p>
        </w:tc>
        <w:tc>
          <w:tcPr>
            <w:tcW w:w="720"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5.3</w:t>
            </w:r>
          </w:p>
        </w:tc>
        <w:tc>
          <w:tcPr>
            <w:tcW w:w="720"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5.4</w:t>
            </w:r>
          </w:p>
        </w:tc>
        <w:tc>
          <w:tcPr>
            <w:tcW w:w="868" w:type="dxa"/>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7.5</w:t>
            </w:r>
          </w:p>
        </w:tc>
        <w:tc>
          <w:tcPr>
            <w:tcW w:w="868"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5.9</w:t>
            </w:r>
          </w:p>
        </w:tc>
        <w:tc>
          <w:tcPr>
            <w:tcW w:w="868"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5.0</w:t>
            </w:r>
          </w:p>
        </w:tc>
      </w:tr>
      <w:tr w:rsidR="00592457" w:rsidRPr="009B23B7" w:rsidTr="00592457">
        <w:trPr>
          <w:trHeight w:val="285"/>
        </w:trPr>
        <w:tc>
          <w:tcPr>
            <w:tcW w:w="6030" w:type="dxa"/>
            <w:tcBorders>
              <w:top w:val="nil"/>
              <w:left w:val="nil"/>
              <w:bottom w:val="nil"/>
              <w:right w:val="nil"/>
            </w:tcBorders>
            <w:shd w:val="clear" w:color="000000" w:fill="FFFFFF"/>
            <w:noWrap/>
            <w:vAlign w:val="bottom"/>
            <w:hideMark/>
          </w:tcPr>
          <w:p w:rsidR="00592457" w:rsidRPr="009B23B7" w:rsidRDefault="00592457" w:rsidP="00592457">
            <w:pPr>
              <w:ind w:left="-649"/>
              <w:jc w:val="both"/>
              <w:rPr>
                <w:rFonts w:ascii="Segoe UI" w:hAnsi="Segoe UI" w:cs="Segoe UI"/>
                <w:sz w:val="20"/>
                <w:lang w:val="kk-KZ" w:eastAsia="zh-CN"/>
              </w:rPr>
            </w:pPr>
            <w:r w:rsidRPr="009B23B7">
              <w:rPr>
                <w:rFonts w:ascii="Segoe UI" w:hAnsi="Segoe UI" w:cs="Segoe UI"/>
                <w:sz w:val="20"/>
                <w:lang w:val="kk-KZ" w:eastAsia="zh-CN"/>
              </w:rPr>
              <w:t> </w:t>
            </w:r>
          </w:p>
        </w:tc>
        <w:tc>
          <w:tcPr>
            <w:tcW w:w="720"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color w:val="FF0000"/>
                <w:sz w:val="20"/>
                <w:lang w:val="kk-KZ" w:eastAsia="zh-CN"/>
              </w:rPr>
            </w:pPr>
            <w:r w:rsidRPr="009B23B7">
              <w:rPr>
                <w:rFonts w:ascii="Segoe UI" w:hAnsi="Segoe UI" w:cs="Segoe UI"/>
                <w:color w:val="FF0000"/>
                <w:sz w:val="20"/>
                <w:lang w:val="kk-KZ" w:eastAsia="zh-CN"/>
              </w:rPr>
              <w:t> </w:t>
            </w:r>
          </w:p>
        </w:tc>
        <w:tc>
          <w:tcPr>
            <w:tcW w:w="720"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color w:val="FF0000"/>
                <w:sz w:val="20"/>
                <w:lang w:val="kk-KZ" w:eastAsia="zh-CN"/>
              </w:rPr>
            </w:pPr>
            <w:r w:rsidRPr="009B23B7">
              <w:rPr>
                <w:rFonts w:ascii="Segoe UI" w:hAnsi="Segoe UI" w:cs="Segoe UI"/>
                <w:color w:val="FF0000"/>
                <w:sz w:val="20"/>
                <w:lang w:val="kk-KZ" w:eastAsia="zh-CN"/>
              </w:rPr>
              <w:t> </w:t>
            </w:r>
          </w:p>
        </w:tc>
        <w:tc>
          <w:tcPr>
            <w:tcW w:w="868" w:type="dxa"/>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eastAsia="zh-CN"/>
              </w:rPr>
              <w:t> </w:t>
            </w:r>
          </w:p>
        </w:tc>
        <w:tc>
          <w:tcPr>
            <w:tcW w:w="868"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eastAsia="zh-CN"/>
              </w:rPr>
              <w:t> </w:t>
            </w:r>
          </w:p>
        </w:tc>
        <w:tc>
          <w:tcPr>
            <w:tcW w:w="868"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eastAsia="zh-CN"/>
              </w:rPr>
              <w:t> </w:t>
            </w:r>
          </w:p>
        </w:tc>
      </w:tr>
      <w:tr w:rsidR="00592457" w:rsidRPr="009B23B7" w:rsidTr="00592457">
        <w:trPr>
          <w:trHeight w:val="285"/>
        </w:trPr>
        <w:tc>
          <w:tcPr>
            <w:tcW w:w="6030" w:type="dxa"/>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b/>
                <w:bCs/>
                <w:sz w:val="20"/>
                <w:lang w:val="kk-KZ" w:eastAsia="zh-CN"/>
              </w:rPr>
            </w:pPr>
            <w:r w:rsidRPr="009B23B7">
              <w:rPr>
                <w:rFonts w:ascii="Segoe UI" w:hAnsi="Segoe UI" w:cs="Segoe UI"/>
                <w:b/>
                <w:bCs/>
                <w:sz w:val="20"/>
                <w:lang w:val="kk-KZ" w:eastAsia="zh-CN"/>
              </w:rPr>
              <w:t>Мемлекеттік қаржы</w:t>
            </w:r>
          </w:p>
        </w:tc>
        <w:tc>
          <w:tcPr>
            <w:tcW w:w="720"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color w:val="FF0000"/>
                <w:sz w:val="20"/>
                <w:lang w:val="kk-KZ" w:eastAsia="zh-CN"/>
              </w:rPr>
            </w:pPr>
            <w:r w:rsidRPr="009B23B7">
              <w:rPr>
                <w:rFonts w:ascii="Segoe UI" w:hAnsi="Segoe UI" w:cs="Segoe UI"/>
                <w:color w:val="FF0000"/>
                <w:sz w:val="20"/>
                <w:lang w:val="kk-KZ" w:eastAsia="zh-CN"/>
              </w:rPr>
              <w:t> </w:t>
            </w:r>
          </w:p>
        </w:tc>
        <w:tc>
          <w:tcPr>
            <w:tcW w:w="720"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color w:val="FF0000"/>
                <w:sz w:val="20"/>
                <w:lang w:val="kk-KZ" w:eastAsia="zh-CN"/>
              </w:rPr>
            </w:pPr>
            <w:r w:rsidRPr="009B23B7">
              <w:rPr>
                <w:rFonts w:ascii="Segoe UI" w:hAnsi="Segoe UI" w:cs="Segoe UI"/>
                <w:color w:val="FF0000"/>
                <w:sz w:val="20"/>
                <w:lang w:val="kk-KZ" w:eastAsia="zh-CN"/>
              </w:rPr>
              <w:t> </w:t>
            </w:r>
          </w:p>
        </w:tc>
        <w:tc>
          <w:tcPr>
            <w:tcW w:w="868" w:type="dxa"/>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eastAsia="zh-CN"/>
              </w:rPr>
              <w:t> </w:t>
            </w:r>
          </w:p>
        </w:tc>
        <w:tc>
          <w:tcPr>
            <w:tcW w:w="868"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eastAsia="zh-CN"/>
              </w:rPr>
              <w:t> </w:t>
            </w:r>
          </w:p>
        </w:tc>
        <w:tc>
          <w:tcPr>
            <w:tcW w:w="868"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eastAsia="zh-CN"/>
              </w:rPr>
              <w:t> </w:t>
            </w:r>
          </w:p>
        </w:tc>
      </w:tr>
      <w:tr w:rsidR="00592457" w:rsidRPr="009B23B7" w:rsidTr="00592457">
        <w:trPr>
          <w:trHeight w:val="285"/>
        </w:trPr>
        <w:tc>
          <w:tcPr>
            <w:tcW w:w="6030" w:type="dxa"/>
            <w:tcBorders>
              <w:top w:val="nil"/>
              <w:left w:val="nil"/>
              <w:bottom w:val="nil"/>
              <w:right w:val="nil"/>
            </w:tcBorders>
            <w:shd w:val="clear" w:color="000000" w:fill="FFFFFF"/>
            <w:noWrap/>
            <w:vAlign w:val="bottom"/>
            <w:hideMark/>
          </w:tcPr>
          <w:p w:rsidR="00592457" w:rsidRPr="009B23B7" w:rsidRDefault="00592457" w:rsidP="00592457">
            <w:pPr>
              <w:ind w:firstLineChars="100" w:firstLine="200"/>
              <w:jc w:val="both"/>
              <w:rPr>
                <w:rFonts w:ascii="Segoe UI" w:hAnsi="Segoe UI" w:cs="Segoe UI"/>
                <w:sz w:val="20"/>
                <w:lang w:val="kk-KZ" w:eastAsia="zh-CN"/>
              </w:rPr>
            </w:pPr>
            <w:r w:rsidRPr="009B23B7">
              <w:rPr>
                <w:rFonts w:ascii="Segoe UI" w:hAnsi="Segoe UI" w:cs="Segoe UI"/>
                <w:sz w:val="20"/>
                <w:lang w:val="kk-KZ" w:eastAsia="zh-CN"/>
              </w:rPr>
              <w:t>Түсімдер (ІЖӨ-ден %)</w:t>
            </w:r>
          </w:p>
        </w:tc>
        <w:tc>
          <w:tcPr>
            <w:tcW w:w="720"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21.4</w:t>
            </w:r>
          </w:p>
        </w:tc>
        <w:tc>
          <w:tcPr>
            <w:tcW w:w="720"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19.7</w:t>
            </w:r>
          </w:p>
        </w:tc>
        <w:tc>
          <w:tcPr>
            <w:tcW w:w="868" w:type="dxa"/>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17.2</w:t>
            </w:r>
          </w:p>
        </w:tc>
        <w:tc>
          <w:tcPr>
            <w:tcW w:w="868"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18.5</w:t>
            </w:r>
          </w:p>
        </w:tc>
        <w:tc>
          <w:tcPr>
            <w:tcW w:w="868"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18.8</w:t>
            </w:r>
          </w:p>
        </w:tc>
      </w:tr>
      <w:tr w:rsidR="00592457" w:rsidRPr="009B23B7" w:rsidTr="00592457">
        <w:trPr>
          <w:trHeight w:val="285"/>
        </w:trPr>
        <w:tc>
          <w:tcPr>
            <w:tcW w:w="6030" w:type="dxa"/>
            <w:tcBorders>
              <w:top w:val="nil"/>
              <w:left w:val="nil"/>
              <w:bottom w:val="nil"/>
              <w:right w:val="nil"/>
            </w:tcBorders>
            <w:shd w:val="clear" w:color="000000" w:fill="FFFFFF"/>
            <w:noWrap/>
            <w:vAlign w:val="bottom"/>
            <w:hideMark/>
          </w:tcPr>
          <w:p w:rsidR="00592457" w:rsidRPr="009B23B7" w:rsidRDefault="00592457" w:rsidP="00592457">
            <w:pPr>
              <w:ind w:firstLineChars="200" w:firstLine="400"/>
              <w:jc w:val="both"/>
              <w:rPr>
                <w:rFonts w:ascii="Segoe UI" w:hAnsi="Segoe UI" w:cs="Segoe UI"/>
                <w:i/>
                <w:iCs/>
                <w:sz w:val="20"/>
                <w:lang w:val="kk-KZ" w:eastAsia="zh-CN"/>
              </w:rPr>
            </w:pPr>
            <w:r w:rsidRPr="009B23B7">
              <w:rPr>
                <w:rFonts w:ascii="Segoe UI" w:hAnsi="Segoe UI" w:cs="Segoe UI"/>
                <w:i/>
                <w:iCs/>
                <w:sz w:val="20"/>
                <w:lang w:val="kk-KZ" w:eastAsia="zh-CN"/>
              </w:rPr>
              <w:t>Олардың ішінде:</w:t>
            </w:r>
            <w:r w:rsidRPr="009B23B7">
              <w:rPr>
                <w:rFonts w:ascii="Segoe UI" w:hAnsi="Segoe UI" w:cs="Segoe UI"/>
                <w:sz w:val="20"/>
                <w:lang w:val="kk-KZ" w:eastAsia="zh-CN"/>
              </w:rPr>
              <w:t xml:space="preserve"> мұнайдан түсім</w:t>
            </w:r>
          </w:p>
        </w:tc>
        <w:tc>
          <w:tcPr>
            <w:tcW w:w="720"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7.4</w:t>
            </w:r>
          </w:p>
        </w:tc>
        <w:tc>
          <w:tcPr>
            <w:tcW w:w="720"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6.9</w:t>
            </w:r>
          </w:p>
        </w:tc>
        <w:tc>
          <w:tcPr>
            <w:tcW w:w="868" w:type="dxa"/>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4.5</w:t>
            </w:r>
          </w:p>
        </w:tc>
        <w:tc>
          <w:tcPr>
            <w:tcW w:w="868"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5.4</w:t>
            </w:r>
          </w:p>
        </w:tc>
        <w:tc>
          <w:tcPr>
            <w:tcW w:w="868"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5.4</w:t>
            </w:r>
          </w:p>
        </w:tc>
      </w:tr>
      <w:tr w:rsidR="00592457" w:rsidRPr="009B23B7" w:rsidTr="00592457">
        <w:trPr>
          <w:trHeight w:val="285"/>
        </w:trPr>
        <w:tc>
          <w:tcPr>
            <w:tcW w:w="6030" w:type="dxa"/>
            <w:tcBorders>
              <w:top w:val="nil"/>
              <w:left w:val="nil"/>
              <w:bottom w:val="nil"/>
              <w:right w:val="nil"/>
            </w:tcBorders>
            <w:shd w:val="clear" w:color="000000" w:fill="FFFFFF"/>
            <w:noWrap/>
            <w:vAlign w:val="bottom"/>
            <w:hideMark/>
          </w:tcPr>
          <w:p w:rsidR="00592457" w:rsidRPr="009B23B7" w:rsidRDefault="00592457" w:rsidP="00592457">
            <w:pPr>
              <w:ind w:firstLineChars="100" w:firstLine="200"/>
              <w:jc w:val="both"/>
              <w:rPr>
                <w:rFonts w:ascii="Segoe UI" w:hAnsi="Segoe UI" w:cs="Segoe UI"/>
                <w:sz w:val="20"/>
                <w:lang w:val="kk-KZ" w:eastAsia="zh-CN"/>
              </w:rPr>
            </w:pPr>
            <w:r w:rsidRPr="009B23B7">
              <w:rPr>
                <w:rFonts w:ascii="Segoe UI" w:hAnsi="Segoe UI" w:cs="Segoe UI"/>
                <w:sz w:val="20"/>
                <w:lang w:val="kk-KZ" w:eastAsia="zh-CN"/>
              </w:rPr>
              <w:t xml:space="preserve">Шығыстар (ІЖӨ-ден %) </w:t>
            </w:r>
          </w:p>
        </w:tc>
        <w:tc>
          <w:tcPr>
            <w:tcW w:w="720"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18.9</w:t>
            </w:r>
          </w:p>
        </w:tc>
        <w:tc>
          <w:tcPr>
            <w:tcW w:w="720"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20.3</w:t>
            </w:r>
          </w:p>
        </w:tc>
        <w:tc>
          <w:tcPr>
            <w:tcW w:w="868" w:type="dxa"/>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22.6</w:t>
            </w:r>
          </w:p>
        </w:tc>
        <w:tc>
          <w:tcPr>
            <w:tcW w:w="868"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21.5</w:t>
            </w:r>
          </w:p>
        </w:tc>
        <w:tc>
          <w:tcPr>
            <w:tcW w:w="868"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20.1</w:t>
            </w:r>
          </w:p>
        </w:tc>
      </w:tr>
      <w:tr w:rsidR="00592457" w:rsidRPr="009B23B7" w:rsidTr="00592457">
        <w:trPr>
          <w:trHeight w:val="285"/>
        </w:trPr>
        <w:tc>
          <w:tcPr>
            <w:tcW w:w="6030" w:type="dxa"/>
            <w:tcBorders>
              <w:top w:val="nil"/>
              <w:left w:val="nil"/>
              <w:bottom w:val="nil"/>
              <w:right w:val="nil"/>
            </w:tcBorders>
            <w:shd w:val="clear" w:color="000000" w:fill="FFFFFF"/>
            <w:noWrap/>
            <w:vAlign w:val="bottom"/>
            <w:hideMark/>
          </w:tcPr>
          <w:p w:rsidR="00592457" w:rsidRPr="009B23B7" w:rsidRDefault="00592457" w:rsidP="00592457">
            <w:pPr>
              <w:ind w:firstLineChars="100" w:firstLine="200"/>
              <w:jc w:val="both"/>
              <w:rPr>
                <w:rFonts w:ascii="Segoe UI" w:hAnsi="Segoe UI" w:cs="Segoe UI"/>
                <w:sz w:val="20"/>
                <w:lang w:val="kk-KZ" w:eastAsia="zh-CN"/>
              </w:rPr>
            </w:pPr>
            <w:r w:rsidRPr="009B23B7">
              <w:rPr>
                <w:rFonts w:ascii="Segoe UI" w:hAnsi="Segoe UI" w:cs="Segoe UI"/>
                <w:sz w:val="20"/>
                <w:lang w:val="kk-KZ" w:eastAsia="zh-CN"/>
              </w:rPr>
              <w:t xml:space="preserve">Бюджет балансы (ІЖӨ-ден %) </w:t>
            </w:r>
          </w:p>
        </w:tc>
        <w:tc>
          <w:tcPr>
            <w:tcW w:w="720"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2.5</w:t>
            </w:r>
          </w:p>
        </w:tc>
        <w:tc>
          <w:tcPr>
            <w:tcW w:w="720"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-0.6</w:t>
            </w:r>
          </w:p>
        </w:tc>
        <w:tc>
          <w:tcPr>
            <w:tcW w:w="868" w:type="dxa"/>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-5.4</w:t>
            </w:r>
          </w:p>
        </w:tc>
        <w:tc>
          <w:tcPr>
            <w:tcW w:w="868"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-3.0</w:t>
            </w:r>
          </w:p>
        </w:tc>
        <w:tc>
          <w:tcPr>
            <w:tcW w:w="868"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-1.4</w:t>
            </w:r>
          </w:p>
        </w:tc>
      </w:tr>
      <w:tr w:rsidR="00592457" w:rsidRPr="009B23B7" w:rsidTr="00592457">
        <w:trPr>
          <w:trHeight w:val="285"/>
        </w:trPr>
        <w:tc>
          <w:tcPr>
            <w:tcW w:w="6030" w:type="dxa"/>
            <w:tcBorders>
              <w:top w:val="nil"/>
              <w:left w:val="nil"/>
              <w:bottom w:val="nil"/>
              <w:right w:val="nil"/>
            </w:tcBorders>
            <w:shd w:val="clear" w:color="000000" w:fill="FFFFFF"/>
            <w:noWrap/>
            <w:vAlign w:val="bottom"/>
            <w:hideMark/>
          </w:tcPr>
          <w:p w:rsidR="00592457" w:rsidRPr="009B23B7" w:rsidRDefault="00592457" w:rsidP="00592457">
            <w:pPr>
              <w:ind w:firstLineChars="100" w:firstLine="200"/>
              <w:jc w:val="both"/>
              <w:rPr>
                <w:rFonts w:ascii="Segoe UI" w:hAnsi="Segoe UI" w:cs="Segoe UI"/>
                <w:sz w:val="20"/>
                <w:lang w:val="kk-KZ" w:eastAsia="zh-CN"/>
              </w:rPr>
            </w:pPr>
            <w:r w:rsidRPr="009B23B7">
              <w:rPr>
                <w:rFonts w:ascii="Segoe UI" w:hAnsi="Segoe UI" w:cs="Segoe UI"/>
                <w:sz w:val="20"/>
                <w:lang w:val="kk-KZ" w:eastAsia="zh-CN"/>
              </w:rPr>
              <w:t>Мұнайға жатпайтын бюджет балансы (ІЖӨ-ден %)</w:t>
            </w:r>
          </w:p>
        </w:tc>
        <w:tc>
          <w:tcPr>
            <w:tcW w:w="720"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-4.9</w:t>
            </w:r>
          </w:p>
        </w:tc>
        <w:tc>
          <w:tcPr>
            <w:tcW w:w="720"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-7.5</w:t>
            </w:r>
          </w:p>
        </w:tc>
        <w:tc>
          <w:tcPr>
            <w:tcW w:w="868" w:type="dxa"/>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-9.9</w:t>
            </w:r>
          </w:p>
        </w:tc>
        <w:tc>
          <w:tcPr>
            <w:tcW w:w="868"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-8.4</w:t>
            </w:r>
          </w:p>
        </w:tc>
        <w:tc>
          <w:tcPr>
            <w:tcW w:w="868"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-6.8</w:t>
            </w:r>
          </w:p>
        </w:tc>
      </w:tr>
      <w:tr w:rsidR="00592457" w:rsidRPr="009B23B7" w:rsidTr="00592457">
        <w:trPr>
          <w:trHeight w:val="285"/>
        </w:trPr>
        <w:tc>
          <w:tcPr>
            <w:tcW w:w="6030" w:type="dxa"/>
            <w:tcBorders>
              <w:top w:val="nil"/>
              <w:left w:val="nil"/>
              <w:bottom w:val="nil"/>
              <w:right w:val="nil"/>
            </w:tcBorders>
            <w:shd w:val="clear" w:color="000000" w:fill="FFFFFF"/>
            <w:noWrap/>
            <w:vAlign w:val="bottom"/>
            <w:hideMark/>
          </w:tcPr>
          <w:p w:rsidR="00592457" w:rsidRPr="009B23B7" w:rsidRDefault="00592457" w:rsidP="00592457">
            <w:pPr>
              <w:ind w:firstLineChars="100" w:firstLine="200"/>
              <w:jc w:val="both"/>
              <w:rPr>
                <w:rFonts w:ascii="Segoe UI" w:hAnsi="Segoe UI" w:cs="Segoe UI"/>
                <w:sz w:val="20"/>
                <w:lang w:val="kk-KZ" w:eastAsia="zh-CN"/>
              </w:rPr>
            </w:pPr>
            <w:r w:rsidRPr="009B23B7">
              <w:rPr>
                <w:rFonts w:ascii="Segoe UI" w:hAnsi="Segoe UI" w:cs="Segoe UI"/>
                <w:sz w:val="20"/>
                <w:lang w:val="kk-KZ" w:eastAsia="zh-CN"/>
              </w:rPr>
              <w:t>Жалпы мемлекеттік борыш (ІЖӨ-ден %)</w:t>
            </w:r>
          </w:p>
        </w:tc>
        <w:tc>
          <w:tcPr>
            <w:tcW w:w="720"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20.3</w:t>
            </w:r>
          </w:p>
        </w:tc>
        <w:tc>
          <w:tcPr>
            <w:tcW w:w="720"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19.9</w:t>
            </w:r>
          </w:p>
        </w:tc>
        <w:tc>
          <w:tcPr>
            <w:tcW w:w="868" w:type="dxa"/>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23.6</w:t>
            </w:r>
          </w:p>
        </w:tc>
        <w:tc>
          <w:tcPr>
            <w:tcW w:w="868"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24.0</w:t>
            </w:r>
          </w:p>
        </w:tc>
        <w:tc>
          <w:tcPr>
            <w:tcW w:w="868"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24.9</w:t>
            </w:r>
          </w:p>
        </w:tc>
      </w:tr>
      <w:tr w:rsidR="00592457" w:rsidRPr="009B23B7" w:rsidTr="00592457">
        <w:trPr>
          <w:trHeight w:val="285"/>
        </w:trPr>
        <w:tc>
          <w:tcPr>
            <w:tcW w:w="6030" w:type="dxa"/>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eastAsia="zh-CN"/>
              </w:rPr>
              <w:t> </w:t>
            </w:r>
          </w:p>
        </w:tc>
        <w:tc>
          <w:tcPr>
            <w:tcW w:w="720"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color w:val="FF0000"/>
                <w:sz w:val="20"/>
                <w:lang w:val="kk-KZ" w:eastAsia="zh-CN"/>
              </w:rPr>
            </w:pPr>
            <w:r w:rsidRPr="009B23B7">
              <w:rPr>
                <w:rFonts w:ascii="Segoe UI" w:hAnsi="Segoe UI" w:cs="Segoe UI"/>
                <w:color w:val="FF0000"/>
                <w:sz w:val="20"/>
                <w:lang w:val="kk-KZ" w:eastAsia="zh-CN"/>
              </w:rPr>
              <w:t> </w:t>
            </w:r>
          </w:p>
        </w:tc>
        <w:tc>
          <w:tcPr>
            <w:tcW w:w="720"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color w:val="FF0000"/>
                <w:sz w:val="20"/>
                <w:lang w:val="kk-KZ" w:eastAsia="zh-CN"/>
              </w:rPr>
            </w:pPr>
            <w:r w:rsidRPr="009B23B7">
              <w:rPr>
                <w:rFonts w:ascii="Segoe UI" w:hAnsi="Segoe UI" w:cs="Segoe UI"/>
                <w:color w:val="FF0000"/>
                <w:sz w:val="20"/>
                <w:lang w:val="kk-KZ" w:eastAsia="zh-CN"/>
              </w:rPr>
              <w:t> </w:t>
            </w:r>
          </w:p>
        </w:tc>
        <w:tc>
          <w:tcPr>
            <w:tcW w:w="868" w:type="dxa"/>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eastAsia="zh-CN"/>
              </w:rPr>
              <w:t> </w:t>
            </w:r>
          </w:p>
        </w:tc>
        <w:tc>
          <w:tcPr>
            <w:tcW w:w="868"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eastAsia="zh-CN"/>
              </w:rPr>
              <w:t> </w:t>
            </w:r>
          </w:p>
        </w:tc>
        <w:tc>
          <w:tcPr>
            <w:tcW w:w="868"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eastAsia="zh-CN"/>
              </w:rPr>
              <w:t> </w:t>
            </w:r>
          </w:p>
        </w:tc>
      </w:tr>
      <w:tr w:rsidR="00592457" w:rsidRPr="009B23B7" w:rsidTr="00592457">
        <w:trPr>
          <w:trHeight w:val="285"/>
        </w:trPr>
        <w:tc>
          <w:tcPr>
            <w:tcW w:w="6030" w:type="dxa"/>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b/>
                <w:bCs/>
                <w:sz w:val="20"/>
                <w:lang w:val="kk-KZ" w:eastAsia="zh-CN"/>
              </w:rPr>
            </w:pPr>
            <w:r w:rsidRPr="009B23B7">
              <w:rPr>
                <w:rFonts w:ascii="Segoe UI" w:hAnsi="Segoe UI" w:cs="Segoe UI"/>
                <w:b/>
                <w:bCs/>
                <w:sz w:val="20"/>
                <w:lang w:val="kk-KZ" w:eastAsia="zh-CN"/>
              </w:rPr>
              <w:t>Ақша-кредит қаражаты</w:t>
            </w:r>
          </w:p>
        </w:tc>
        <w:tc>
          <w:tcPr>
            <w:tcW w:w="720"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color w:val="FF0000"/>
                <w:sz w:val="20"/>
                <w:lang w:val="kk-KZ" w:eastAsia="zh-CN"/>
              </w:rPr>
            </w:pPr>
            <w:r w:rsidRPr="009B23B7">
              <w:rPr>
                <w:rFonts w:ascii="Segoe UI" w:hAnsi="Segoe UI" w:cs="Segoe UI"/>
                <w:color w:val="FF0000"/>
                <w:sz w:val="20"/>
                <w:lang w:val="kk-KZ" w:eastAsia="zh-CN"/>
              </w:rPr>
              <w:t> </w:t>
            </w:r>
          </w:p>
        </w:tc>
        <w:tc>
          <w:tcPr>
            <w:tcW w:w="720"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color w:val="FF0000"/>
                <w:sz w:val="20"/>
                <w:lang w:val="kk-KZ" w:eastAsia="zh-CN"/>
              </w:rPr>
            </w:pPr>
            <w:r w:rsidRPr="009B23B7">
              <w:rPr>
                <w:rFonts w:ascii="Segoe UI" w:hAnsi="Segoe UI" w:cs="Segoe UI"/>
                <w:color w:val="FF0000"/>
                <w:sz w:val="20"/>
                <w:lang w:val="kk-KZ" w:eastAsia="zh-CN"/>
              </w:rPr>
              <w:t> </w:t>
            </w:r>
          </w:p>
        </w:tc>
        <w:tc>
          <w:tcPr>
            <w:tcW w:w="868" w:type="dxa"/>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eastAsia="zh-CN"/>
              </w:rPr>
              <w:t> </w:t>
            </w:r>
          </w:p>
        </w:tc>
        <w:tc>
          <w:tcPr>
            <w:tcW w:w="868"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eastAsia="zh-CN"/>
              </w:rPr>
              <w:t> </w:t>
            </w:r>
          </w:p>
        </w:tc>
        <w:tc>
          <w:tcPr>
            <w:tcW w:w="868"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eastAsia="zh-CN"/>
              </w:rPr>
              <w:t> </w:t>
            </w:r>
          </w:p>
        </w:tc>
      </w:tr>
      <w:tr w:rsidR="00592457" w:rsidRPr="009B23B7" w:rsidTr="00592457">
        <w:trPr>
          <w:trHeight w:val="285"/>
        </w:trPr>
        <w:tc>
          <w:tcPr>
            <w:tcW w:w="6030" w:type="dxa"/>
            <w:tcBorders>
              <w:top w:val="nil"/>
              <w:left w:val="nil"/>
              <w:bottom w:val="nil"/>
              <w:right w:val="nil"/>
            </w:tcBorders>
            <w:shd w:val="clear" w:color="000000" w:fill="FFFFFF"/>
            <w:noWrap/>
            <w:vAlign w:val="bottom"/>
            <w:hideMark/>
          </w:tcPr>
          <w:p w:rsidR="00592457" w:rsidRPr="009B23B7" w:rsidRDefault="00592457" w:rsidP="00592457">
            <w:pPr>
              <w:ind w:firstLineChars="100" w:firstLine="200"/>
              <w:jc w:val="both"/>
              <w:rPr>
                <w:rFonts w:ascii="Segoe UI" w:hAnsi="Segoe UI" w:cs="Segoe UI"/>
                <w:sz w:val="20"/>
                <w:lang w:val="kk-KZ" w:eastAsia="zh-CN"/>
              </w:rPr>
            </w:pPr>
            <w:r w:rsidRPr="009B23B7">
              <w:rPr>
                <w:rFonts w:ascii="Segoe UI" w:hAnsi="Segoe UI" w:cs="Segoe UI"/>
                <w:sz w:val="20"/>
                <w:lang w:val="kk-KZ" w:eastAsia="zh-CN"/>
              </w:rPr>
              <w:t>Кең ақша масса (өсім %-бен)</w:t>
            </w:r>
          </w:p>
        </w:tc>
        <w:tc>
          <w:tcPr>
            <w:tcW w:w="720"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7.0</w:t>
            </w:r>
          </w:p>
        </w:tc>
        <w:tc>
          <w:tcPr>
            <w:tcW w:w="720"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2.4</w:t>
            </w:r>
          </w:p>
        </w:tc>
        <w:tc>
          <w:tcPr>
            <w:tcW w:w="868" w:type="dxa"/>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8.8</w:t>
            </w:r>
          </w:p>
        </w:tc>
        <w:tc>
          <w:tcPr>
            <w:tcW w:w="868"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8.6</w:t>
            </w:r>
          </w:p>
        </w:tc>
        <w:tc>
          <w:tcPr>
            <w:tcW w:w="868"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7.5</w:t>
            </w:r>
          </w:p>
        </w:tc>
      </w:tr>
      <w:tr w:rsidR="00592457" w:rsidRPr="009B23B7" w:rsidTr="00592457">
        <w:trPr>
          <w:trHeight w:val="285"/>
        </w:trPr>
        <w:tc>
          <w:tcPr>
            <w:tcW w:w="6030" w:type="dxa"/>
            <w:tcBorders>
              <w:top w:val="nil"/>
              <w:left w:val="nil"/>
              <w:bottom w:val="nil"/>
              <w:right w:val="nil"/>
            </w:tcBorders>
            <w:shd w:val="clear" w:color="000000" w:fill="FFFFFF"/>
            <w:noWrap/>
            <w:vAlign w:val="bottom"/>
            <w:hideMark/>
          </w:tcPr>
          <w:p w:rsidR="00592457" w:rsidRPr="009B23B7" w:rsidRDefault="00592457" w:rsidP="00592457">
            <w:pPr>
              <w:ind w:firstLineChars="100" w:firstLine="200"/>
              <w:jc w:val="both"/>
              <w:rPr>
                <w:rFonts w:ascii="Segoe UI" w:hAnsi="Segoe UI" w:cs="Segoe UI"/>
                <w:sz w:val="20"/>
                <w:lang w:val="kk-KZ" w:eastAsia="zh-CN"/>
              </w:rPr>
            </w:pPr>
            <w:r w:rsidRPr="009B23B7">
              <w:rPr>
                <w:rFonts w:ascii="Segoe UI" w:hAnsi="Segoe UI" w:cs="Segoe UI"/>
                <w:sz w:val="20"/>
                <w:lang w:val="kk-KZ" w:eastAsia="zh-CN"/>
              </w:rPr>
              <w:t>Жеке секторды кредиттеу (ІЖӨ-ден %)</w:t>
            </w:r>
          </w:p>
        </w:tc>
        <w:tc>
          <w:tcPr>
            <w:tcW w:w="720"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22.7</w:t>
            </w:r>
          </w:p>
        </w:tc>
        <w:tc>
          <w:tcPr>
            <w:tcW w:w="720"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21.3</w:t>
            </w:r>
          </w:p>
        </w:tc>
        <w:tc>
          <w:tcPr>
            <w:tcW w:w="868" w:type="dxa"/>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23.0</w:t>
            </w:r>
          </w:p>
        </w:tc>
        <w:tc>
          <w:tcPr>
            <w:tcW w:w="868"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23.6</w:t>
            </w:r>
          </w:p>
        </w:tc>
        <w:tc>
          <w:tcPr>
            <w:tcW w:w="868"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24.1</w:t>
            </w:r>
          </w:p>
        </w:tc>
      </w:tr>
      <w:tr w:rsidR="00592457" w:rsidRPr="009B23B7" w:rsidTr="00592457">
        <w:trPr>
          <w:trHeight w:val="285"/>
        </w:trPr>
        <w:tc>
          <w:tcPr>
            <w:tcW w:w="6030" w:type="dxa"/>
            <w:tcBorders>
              <w:top w:val="nil"/>
              <w:left w:val="nil"/>
              <w:bottom w:val="nil"/>
              <w:right w:val="nil"/>
            </w:tcBorders>
            <w:shd w:val="clear" w:color="000000" w:fill="FFFFFF"/>
            <w:noWrap/>
            <w:vAlign w:val="bottom"/>
            <w:hideMark/>
          </w:tcPr>
          <w:p w:rsidR="00592457" w:rsidRPr="009B23B7" w:rsidRDefault="00592457" w:rsidP="00592457">
            <w:pPr>
              <w:ind w:firstLineChars="100" w:firstLine="200"/>
              <w:jc w:val="both"/>
              <w:rPr>
                <w:rFonts w:ascii="Segoe UI" w:hAnsi="Segoe UI" w:cs="Segoe UI"/>
                <w:sz w:val="20"/>
                <w:lang w:val="kk-KZ" w:eastAsia="zh-CN"/>
              </w:rPr>
            </w:pPr>
            <w:r w:rsidRPr="009B23B7">
              <w:rPr>
                <w:rFonts w:ascii="Segoe UI" w:hAnsi="Segoe UI" w:cs="Segoe UI"/>
                <w:sz w:val="20"/>
                <w:lang w:val="kk-KZ" w:eastAsia="zh-CN"/>
              </w:rPr>
              <w:t xml:space="preserve">ҚРҰБ-тың есептік мөлшерлемесі (кезең соңында, %) </w:t>
            </w:r>
          </w:p>
        </w:tc>
        <w:tc>
          <w:tcPr>
            <w:tcW w:w="720"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9.3</w:t>
            </w:r>
          </w:p>
        </w:tc>
        <w:tc>
          <w:tcPr>
            <w:tcW w:w="720"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9.3</w:t>
            </w:r>
          </w:p>
        </w:tc>
        <w:tc>
          <w:tcPr>
            <w:tcW w:w="868" w:type="dxa"/>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w:t>
            </w:r>
          </w:p>
        </w:tc>
        <w:tc>
          <w:tcPr>
            <w:tcW w:w="868"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w:t>
            </w:r>
          </w:p>
        </w:tc>
        <w:tc>
          <w:tcPr>
            <w:tcW w:w="868"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w:t>
            </w:r>
          </w:p>
        </w:tc>
      </w:tr>
      <w:tr w:rsidR="00592457" w:rsidRPr="009B23B7" w:rsidTr="00592457">
        <w:trPr>
          <w:trHeight w:val="285"/>
        </w:trPr>
        <w:tc>
          <w:tcPr>
            <w:tcW w:w="6030" w:type="dxa"/>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eastAsia="zh-CN"/>
              </w:rPr>
              <w:t> </w:t>
            </w:r>
          </w:p>
        </w:tc>
        <w:tc>
          <w:tcPr>
            <w:tcW w:w="720"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color w:val="FF0000"/>
                <w:sz w:val="20"/>
                <w:lang w:val="kk-KZ" w:eastAsia="zh-CN"/>
              </w:rPr>
            </w:pPr>
            <w:r w:rsidRPr="009B23B7">
              <w:rPr>
                <w:rFonts w:ascii="Segoe UI" w:hAnsi="Segoe UI" w:cs="Segoe UI"/>
                <w:color w:val="FF0000"/>
                <w:sz w:val="20"/>
                <w:lang w:val="kk-KZ" w:eastAsia="zh-CN"/>
              </w:rPr>
              <w:t> </w:t>
            </w:r>
          </w:p>
        </w:tc>
        <w:tc>
          <w:tcPr>
            <w:tcW w:w="720"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color w:val="FF0000"/>
                <w:sz w:val="20"/>
                <w:lang w:val="kk-KZ" w:eastAsia="zh-CN"/>
              </w:rPr>
            </w:pPr>
            <w:r w:rsidRPr="009B23B7">
              <w:rPr>
                <w:rFonts w:ascii="Segoe UI" w:hAnsi="Segoe UI" w:cs="Segoe UI"/>
                <w:color w:val="FF0000"/>
                <w:sz w:val="20"/>
                <w:lang w:val="kk-KZ" w:eastAsia="zh-CN"/>
              </w:rPr>
              <w:t> </w:t>
            </w:r>
          </w:p>
        </w:tc>
        <w:tc>
          <w:tcPr>
            <w:tcW w:w="868" w:type="dxa"/>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eastAsia="zh-CN"/>
              </w:rPr>
              <w:t> </w:t>
            </w:r>
          </w:p>
        </w:tc>
        <w:tc>
          <w:tcPr>
            <w:tcW w:w="868"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eastAsia="zh-CN"/>
              </w:rPr>
              <w:t> </w:t>
            </w:r>
          </w:p>
        </w:tc>
        <w:tc>
          <w:tcPr>
            <w:tcW w:w="868"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eastAsia="zh-CN"/>
              </w:rPr>
              <w:t> </w:t>
            </w:r>
          </w:p>
        </w:tc>
      </w:tr>
      <w:tr w:rsidR="00592457" w:rsidRPr="009B23B7" w:rsidTr="00592457">
        <w:trPr>
          <w:trHeight w:val="285"/>
        </w:trPr>
        <w:tc>
          <w:tcPr>
            <w:tcW w:w="6030" w:type="dxa"/>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b/>
                <w:bCs/>
                <w:sz w:val="20"/>
                <w:lang w:val="kk-KZ" w:eastAsia="zh-CN"/>
              </w:rPr>
            </w:pPr>
            <w:r w:rsidRPr="009B23B7">
              <w:rPr>
                <w:rFonts w:ascii="Segoe UI" w:hAnsi="Segoe UI" w:cs="Segoe UI"/>
                <w:b/>
                <w:bCs/>
                <w:sz w:val="20"/>
                <w:lang w:val="kk-KZ" w:eastAsia="zh-CN"/>
              </w:rPr>
              <w:t>Төлем балансы</w:t>
            </w:r>
          </w:p>
        </w:tc>
        <w:tc>
          <w:tcPr>
            <w:tcW w:w="720"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color w:val="FF0000"/>
                <w:sz w:val="20"/>
                <w:lang w:val="kk-KZ" w:eastAsia="zh-CN"/>
              </w:rPr>
            </w:pPr>
            <w:r w:rsidRPr="009B23B7">
              <w:rPr>
                <w:rFonts w:ascii="Segoe UI" w:hAnsi="Segoe UI" w:cs="Segoe UI"/>
                <w:color w:val="FF0000"/>
                <w:sz w:val="20"/>
                <w:lang w:val="kk-KZ" w:eastAsia="zh-CN"/>
              </w:rPr>
              <w:t> </w:t>
            </w:r>
          </w:p>
        </w:tc>
        <w:tc>
          <w:tcPr>
            <w:tcW w:w="720"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color w:val="FF0000"/>
                <w:sz w:val="20"/>
                <w:lang w:val="kk-KZ" w:eastAsia="zh-CN"/>
              </w:rPr>
            </w:pPr>
            <w:r w:rsidRPr="009B23B7">
              <w:rPr>
                <w:rFonts w:ascii="Segoe UI" w:hAnsi="Segoe UI" w:cs="Segoe UI"/>
                <w:color w:val="FF0000"/>
                <w:sz w:val="20"/>
                <w:lang w:val="kk-KZ" w:eastAsia="zh-CN"/>
              </w:rPr>
              <w:t> </w:t>
            </w:r>
          </w:p>
        </w:tc>
        <w:tc>
          <w:tcPr>
            <w:tcW w:w="868" w:type="dxa"/>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eastAsia="zh-CN"/>
              </w:rPr>
              <w:t> </w:t>
            </w:r>
          </w:p>
        </w:tc>
        <w:tc>
          <w:tcPr>
            <w:tcW w:w="868"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eastAsia="zh-CN"/>
              </w:rPr>
              <w:t> </w:t>
            </w:r>
          </w:p>
        </w:tc>
        <w:tc>
          <w:tcPr>
            <w:tcW w:w="868"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eastAsia="zh-CN"/>
              </w:rPr>
              <w:t> </w:t>
            </w:r>
          </w:p>
        </w:tc>
      </w:tr>
      <w:tr w:rsidR="00592457" w:rsidRPr="009B23B7" w:rsidTr="00592457">
        <w:trPr>
          <w:trHeight w:val="285"/>
        </w:trPr>
        <w:tc>
          <w:tcPr>
            <w:tcW w:w="6030" w:type="dxa"/>
            <w:tcBorders>
              <w:top w:val="nil"/>
              <w:left w:val="nil"/>
              <w:bottom w:val="nil"/>
              <w:right w:val="nil"/>
            </w:tcBorders>
            <w:shd w:val="clear" w:color="000000" w:fill="FFFFFF"/>
            <w:noWrap/>
            <w:vAlign w:val="bottom"/>
            <w:hideMark/>
          </w:tcPr>
          <w:p w:rsidR="00592457" w:rsidRPr="009B23B7" w:rsidRDefault="00592457" w:rsidP="00592457">
            <w:pPr>
              <w:ind w:firstLineChars="100" w:firstLine="200"/>
              <w:jc w:val="both"/>
              <w:rPr>
                <w:rFonts w:ascii="Segoe UI" w:hAnsi="Segoe UI" w:cs="Segoe UI"/>
                <w:sz w:val="20"/>
                <w:lang w:val="kk-KZ" w:eastAsia="zh-CN"/>
              </w:rPr>
            </w:pPr>
            <w:r w:rsidRPr="009B23B7">
              <w:rPr>
                <w:rFonts w:ascii="Segoe UI" w:hAnsi="Segoe UI" w:cs="Segoe UI"/>
                <w:sz w:val="20"/>
                <w:lang w:val="kk-KZ" w:eastAsia="zh-CN"/>
              </w:rPr>
              <w:t>Ағымдағы операциялар шоты (ІЖӨ-ден %)</w:t>
            </w:r>
          </w:p>
        </w:tc>
        <w:tc>
          <w:tcPr>
            <w:tcW w:w="720"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-0.1</w:t>
            </w:r>
          </w:p>
        </w:tc>
        <w:tc>
          <w:tcPr>
            <w:tcW w:w="720"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-4.0</w:t>
            </w:r>
          </w:p>
        </w:tc>
        <w:tc>
          <w:tcPr>
            <w:tcW w:w="868" w:type="dxa"/>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-3.5</w:t>
            </w:r>
          </w:p>
        </w:tc>
        <w:tc>
          <w:tcPr>
            <w:tcW w:w="868"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-3.1</w:t>
            </w:r>
          </w:p>
        </w:tc>
        <w:tc>
          <w:tcPr>
            <w:tcW w:w="868"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-2.9</w:t>
            </w:r>
          </w:p>
        </w:tc>
      </w:tr>
      <w:tr w:rsidR="00592457" w:rsidRPr="009B23B7" w:rsidTr="00592457">
        <w:trPr>
          <w:trHeight w:val="285"/>
        </w:trPr>
        <w:tc>
          <w:tcPr>
            <w:tcW w:w="6030" w:type="dxa"/>
            <w:tcBorders>
              <w:top w:val="nil"/>
              <w:left w:val="nil"/>
              <w:bottom w:val="nil"/>
              <w:right w:val="nil"/>
            </w:tcBorders>
            <w:shd w:val="clear" w:color="000000" w:fill="FFFFFF"/>
            <w:noWrap/>
            <w:vAlign w:val="bottom"/>
            <w:hideMark/>
          </w:tcPr>
          <w:p w:rsidR="00592457" w:rsidRPr="009B23B7" w:rsidRDefault="00592457" w:rsidP="00592457">
            <w:pPr>
              <w:ind w:firstLine="145"/>
              <w:jc w:val="both"/>
              <w:rPr>
                <w:rFonts w:ascii="Segoe UI" w:hAnsi="Segoe UI" w:cs="Segoe UI"/>
                <w:sz w:val="20"/>
                <w:lang w:val="kk-KZ" w:eastAsia="zh-CN"/>
              </w:rPr>
            </w:pPr>
            <w:r w:rsidRPr="009B23B7">
              <w:rPr>
                <w:rFonts w:ascii="Segoe UI" w:hAnsi="Segoe UI" w:cs="Segoe UI"/>
                <w:sz w:val="20"/>
                <w:lang w:val="kk-KZ" w:eastAsia="zh-CN"/>
              </w:rPr>
              <w:t>Таза шетелдік тікелей инвестициялар (ІЖӨ-ден %)</w:t>
            </w:r>
          </w:p>
        </w:tc>
        <w:tc>
          <w:tcPr>
            <w:tcW w:w="720"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-2.6</w:t>
            </w:r>
          </w:p>
        </w:tc>
        <w:tc>
          <w:tcPr>
            <w:tcW w:w="720"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-3.0</w:t>
            </w:r>
          </w:p>
        </w:tc>
        <w:tc>
          <w:tcPr>
            <w:tcW w:w="868" w:type="dxa"/>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-1.8</w:t>
            </w:r>
          </w:p>
        </w:tc>
        <w:tc>
          <w:tcPr>
            <w:tcW w:w="868"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-3.0</w:t>
            </w:r>
          </w:p>
        </w:tc>
        <w:tc>
          <w:tcPr>
            <w:tcW w:w="868"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-3.0</w:t>
            </w:r>
          </w:p>
        </w:tc>
      </w:tr>
      <w:tr w:rsidR="00592457" w:rsidRPr="009B23B7" w:rsidTr="00592457">
        <w:trPr>
          <w:trHeight w:val="285"/>
        </w:trPr>
        <w:tc>
          <w:tcPr>
            <w:tcW w:w="6030" w:type="dxa"/>
            <w:tcBorders>
              <w:top w:val="nil"/>
              <w:left w:val="nil"/>
              <w:bottom w:val="nil"/>
              <w:right w:val="nil"/>
            </w:tcBorders>
            <w:shd w:val="clear" w:color="000000" w:fill="FFFFFF"/>
            <w:noWrap/>
            <w:vAlign w:val="bottom"/>
            <w:hideMark/>
          </w:tcPr>
          <w:p w:rsidR="00592457" w:rsidRPr="009B23B7" w:rsidRDefault="00592457" w:rsidP="00592457">
            <w:pPr>
              <w:ind w:firstLineChars="100" w:firstLine="200"/>
              <w:jc w:val="both"/>
              <w:rPr>
                <w:rFonts w:ascii="Segoe UI" w:hAnsi="Segoe UI" w:cs="Segoe UI"/>
                <w:sz w:val="20"/>
                <w:lang w:val="kk-KZ" w:eastAsia="zh-CN"/>
              </w:rPr>
            </w:pPr>
            <w:r w:rsidRPr="009B23B7">
              <w:rPr>
                <w:rFonts w:ascii="Segoe UI" w:hAnsi="Segoe UI" w:cs="Segoe UI"/>
                <w:sz w:val="20"/>
                <w:lang w:val="kk-KZ" w:eastAsia="zh-CN"/>
              </w:rPr>
              <w:t xml:space="preserve">ҚРҰБ резервтері (келесі жылғы тауар мен көрсетілетін қызметтер импортының айларында) </w:t>
            </w:r>
          </w:p>
        </w:tc>
        <w:tc>
          <w:tcPr>
            <w:tcW w:w="720"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7.2</w:t>
            </w:r>
          </w:p>
        </w:tc>
        <w:tc>
          <w:tcPr>
            <w:tcW w:w="720"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7.8</w:t>
            </w:r>
          </w:p>
        </w:tc>
        <w:tc>
          <w:tcPr>
            <w:tcW w:w="868" w:type="dxa"/>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9.0</w:t>
            </w:r>
          </w:p>
        </w:tc>
        <w:tc>
          <w:tcPr>
            <w:tcW w:w="868"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8.8</w:t>
            </w:r>
          </w:p>
        </w:tc>
        <w:tc>
          <w:tcPr>
            <w:tcW w:w="868"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8.4</w:t>
            </w:r>
          </w:p>
        </w:tc>
      </w:tr>
      <w:tr w:rsidR="00592457" w:rsidRPr="009B23B7" w:rsidTr="00592457">
        <w:trPr>
          <w:trHeight w:val="285"/>
        </w:trPr>
        <w:tc>
          <w:tcPr>
            <w:tcW w:w="6030" w:type="dxa"/>
            <w:tcBorders>
              <w:top w:val="nil"/>
              <w:left w:val="nil"/>
              <w:bottom w:val="nil"/>
              <w:right w:val="nil"/>
            </w:tcBorders>
            <w:shd w:val="clear" w:color="000000" w:fill="FFFFFF"/>
            <w:noWrap/>
            <w:vAlign w:val="bottom"/>
            <w:hideMark/>
          </w:tcPr>
          <w:p w:rsidR="00592457" w:rsidRPr="009B23B7" w:rsidRDefault="00592457" w:rsidP="00592457">
            <w:pPr>
              <w:ind w:firstLineChars="100" w:firstLine="200"/>
              <w:jc w:val="both"/>
              <w:rPr>
                <w:rFonts w:ascii="Segoe UI" w:hAnsi="Segoe UI" w:cs="Segoe UI"/>
                <w:sz w:val="20"/>
                <w:lang w:val="kk-KZ" w:eastAsia="zh-CN"/>
              </w:rPr>
            </w:pPr>
            <w:r w:rsidRPr="009B23B7">
              <w:rPr>
                <w:rFonts w:ascii="Segoe UI" w:hAnsi="Segoe UI" w:cs="Segoe UI"/>
                <w:sz w:val="20"/>
                <w:lang w:val="kk-KZ" w:eastAsia="zh-CN"/>
              </w:rPr>
              <w:t>ҚРҰҚ активтері (келесі жылғы тауар мен көрсетілетін қызметтер импортының айларында)</w:t>
            </w:r>
          </w:p>
        </w:tc>
        <w:tc>
          <w:tcPr>
            <w:tcW w:w="720"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13.5</w:t>
            </w:r>
          </w:p>
        </w:tc>
        <w:tc>
          <w:tcPr>
            <w:tcW w:w="720"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16.5</w:t>
            </w:r>
          </w:p>
        </w:tc>
        <w:tc>
          <w:tcPr>
            <w:tcW w:w="868" w:type="dxa"/>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14.6</w:t>
            </w:r>
          </w:p>
        </w:tc>
        <w:tc>
          <w:tcPr>
            <w:tcW w:w="868"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13.7</w:t>
            </w:r>
          </w:p>
        </w:tc>
        <w:tc>
          <w:tcPr>
            <w:tcW w:w="868"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13.6</w:t>
            </w:r>
          </w:p>
        </w:tc>
      </w:tr>
      <w:tr w:rsidR="00592457" w:rsidRPr="009B23B7" w:rsidTr="00592457">
        <w:trPr>
          <w:trHeight w:val="285"/>
        </w:trPr>
        <w:tc>
          <w:tcPr>
            <w:tcW w:w="6030" w:type="dxa"/>
            <w:tcBorders>
              <w:top w:val="nil"/>
              <w:left w:val="nil"/>
              <w:bottom w:val="nil"/>
              <w:right w:val="nil"/>
            </w:tcBorders>
            <w:shd w:val="clear" w:color="000000" w:fill="FFFFFF"/>
            <w:noWrap/>
            <w:vAlign w:val="bottom"/>
            <w:hideMark/>
          </w:tcPr>
          <w:p w:rsidR="00592457" w:rsidRPr="009B23B7" w:rsidRDefault="00592457" w:rsidP="00592457">
            <w:pPr>
              <w:ind w:firstLineChars="100" w:firstLine="200"/>
              <w:jc w:val="both"/>
              <w:rPr>
                <w:rFonts w:ascii="Segoe UI" w:hAnsi="Segoe UI" w:cs="Segoe UI"/>
                <w:sz w:val="20"/>
                <w:lang w:val="kk-KZ" w:eastAsia="zh-CN"/>
              </w:rPr>
            </w:pPr>
            <w:r w:rsidRPr="009B23B7">
              <w:rPr>
                <w:rFonts w:ascii="Segoe UI" w:hAnsi="Segoe UI" w:cs="Segoe UI"/>
                <w:sz w:val="20"/>
                <w:lang w:val="kk-KZ" w:eastAsia="zh-CN"/>
              </w:rPr>
              <w:t>Сыртқы борыш (ІЖӨ-ден %)</w:t>
            </w:r>
          </w:p>
        </w:tc>
        <w:tc>
          <w:tcPr>
            <w:tcW w:w="720"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89.1</w:t>
            </w:r>
          </w:p>
        </w:tc>
        <w:tc>
          <w:tcPr>
            <w:tcW w:w="720"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87.3</w:t>
            </w:r>
          </w:p>
        </w:tc>
        <w:tc>
          <w:tcPr>
            <w:tcW w:w="868" w:type="dxa"/>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96.9</w:t>
            </w:r>
          </w:p>
        </w:tc>
        <w:tc>
          <w:tcPr>
            <w:tcW w:w="868"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91.4</w:t>
            </w:r>
          </w:p>
        </w:tc>
        <w:tc>
          <w:tcPr>
            <w:tcW w:w="868"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85.3</w:t>
            </w:r>
          </w:p>
        </w:tc>
      </w:tr>
      <w:tr w:rsidR="00592457" w:rsidRPr="009B23B7" w:rsidTr="00592457">
        <w:trPr>
          <w:trHeight w:val="285"/>
        </w:trPr>
        <w:tc>
          <w:tcPr>
            <w:tcW w:w="6030" w:type="dxa"/>
            <w:tcBorders>
              <w:top w:val="nil"/>
              <w:left w:val="nil"/>
              <w:bottom w:val="nil"/>
              <w:right w:val="nil"/>
            </w:tcBorders>
            <w:shd w:val="clear" w:color="000000" w:fill="FFFFFF"/>
            <w:noWrap/>
            <w:vAlign w:val="bottom"/>
            <w:hideMark/>
          </w:tcPr>
          <w:p w:rsidR="00592457" w:rsidRPr="009B23B7" w:rsidRDefault="00592457" w:rsidP="00592457">
            <w:pPr>
              <w:ind w:firstLineChars="100" w:firstLine="200"/>
              <w:jc w:val="both"/>
              <w:rPr>
                <w:rFonts w:ascii="Segoe UI" w:hAnsi="Segoe UI" w:cs="Segoe UI"/>
                <w:sz w:val="20"/>
                <w:lang w:val="kk-KZ" w:eastAsia="zh-CN"/>
              </w:rPr>
            </w:pPr>
            <w:r w:rsidRPr="009B23B7">
              <w:rPr>
                <w:rFonts w:ascii="Segoe UI" w:hAnsi="Segoe UI" w:cs="Segoe UI"/>
                <w:sz w:val="20"/>
                <w:lang w:val="kk-KZ" w:eastAsia="zh-CN"/>
              </w:rPr>
              <w:t> </w:t>
            </w:r>
          </w:p>
        </w:tc>
        <w:tc>
          <w:tcPr>
            <w:tcW w:w="720"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color w:val="FF0000"/>
                <w:sz w:val="20"/>
                <w:lang w:val="kk-KZ" w:eastAsia="zh-CN"/>
              </w:rPr>
            </w:pPr>
            <w:r w:rsidRPr="009B23B7">
              <w:rPr>
                <w:rFonts w:ascii="Segoe UI" w:hAnsi="Segoe UI" w:cs="Segoe UI"/>
                <w:color w:val="FF0000"/>
                <w:sz w:val="20"/>
                <w:lang w:val="kk-KZ" w:eastAsia="zh-CN"/>
              </w:rPr>
              <w:t> </w:t>
            </w:r>
          </w:p>
        </w:tc>
        <w:tc>
          <w:tcPr>
            <w:tcW w:w="720"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color w:val="FF0000"/>
                <w:sz w:val="20"/>
                <w:lang w:val="kk-KZ" w:eastAsia="zh-CN"/>
              </w:rPr>
            </w:pPr>
            <w:r w:rsidRPr="009B23B7">
              <w:rPr>
                <w:rFonts w:ascii="Segoe UI" w:hAnsi="Segoe UI" w:cs="Segoe UI"/>
                <w:color w:val="FF0000"/>
                <w:sz w:val="20"/>
                <w:lang w:val="kk-KZ" w:eastAsia="zh-CN"/>
              </w:rPr>
              <w:t> </w:t>
            </w:r>
          </w:p>
        </w:tc>
        <w:tc>
          <w:tcPr>
            <w:tcW w:w="868" w:type="dxa"/>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eastAsia="zh-CN"/>
              </w:rPr>
              <w:t> </w:t>
            </w:r>
          </w:p>
        </w:tc>
        <w:tc>
          <w:tcPr>
            <w:tcW w:w="868"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eastAsia="zh-CN"/>
              </w:rPr>
              <w:t> </w:t>
            </w:r>
          </w:p>
        </w:tc>
        <w:tc>
          <w:tcPr>
            <w:tcW w:w="868"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eastAsia="zh-CN"/>
              </w:rPr>
              <w:t> </w:t>
            </w:r>
          </w:p>
        </w:tc>
      </w:tr>
      <w:tr w:rsidR="00592457" w:rsidRPr="009B23B7" w:rsidTr="00592457">
        <w:trPr>
          <w:trHeight w:val="285"/>
        </w:trPr>
        <w:tc>
          <w:tcPr>
            <w:tcW w:w="6030" w:type="dxa"/>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b/>
                <w:bCs/>
                <w:sz w:val="20"/>
                <w:lang w:val="kk-KZ" w:eastAsia="zh-CN"/>
              </w:rPr>
            </w:pPr>
            <w:r w:rsidRPr="009B23B7">
              <w:rPr>
                <w:rFonts w:ascii="Segoe UI" w:hAnsi="Segoe UI" w:cs="Segoe UI"/>
                <w:b/>
                <w:bCs/>
                <w:sz w:val="20"/>
                <w:lang w:val="kk-KZ" w:eastAsia="zh-CN"/>
              </w:rPr>
              <w:t>Айырбастау бағамы</w:t>
            </w:r>
          </w:p>
        </w:tc>
        <w:tc>
          <w:tcPr>
            <w:tcW w:w="720"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color w:val="FF0000"/>
                <w:sz w:val="20"/>
                <w:lang w:val="kk-KZ" w:eastAsia="zh-CN"/>
              </w:rPr>
            </w:pPr>
            <w:r w:rsidRPr="009B23B7">
              <w:rPr>
                <w:rFonts w:ascii="Segoe UI" w:hAnsi="Segoe UI" w:cs="Segoe UI"/>
                <w:color w:val="FF0000"/>
                <w:sz w:val="20"/>
                <w:lang w:val="kk-KZ" w:eastAsia="zh-CN"/>
              </w:rPr>
              <w:t> </w:t>
            </w:r>
          </w:p>
        </w:tc>
        <w:tc>
          <w:tcPr>
            <w:tcW w:w="720"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color w:val="FF0000"/>
                <w:sz w:val="20"/>
                <w:lang w:val="kk-KZ" w:eastAsia="zh-CN"/>
              </w:rPr>
            </w:pPr>
            <w:r w:rsidRPr="009B23B7">
              <w:rPr>
                <w:rFonts w:ascii="Segoe UI" w:hAnsi="Segoe UI" w:cs="Segoe UI"/>
                <w:color w:val="FF0000"/>
                <w:sz w:val="20"/>
                <w:lang w:val="kk-KZ" w:eastAsia="zh-CN"/>
              </w:rPr>
              <w:t> </w:t>
            </w:r>
          </w:p>
        </w:tc>
        <w:tc>
          <w:tcPr>
            <w:tcW w:w="868" w:type="dxa"/>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eastAsia="zh-CN"/>
              </w:rPr>
              <w:t> </w:t>
            </w:r>
          </w:p>
        </w:tc>
        <w:tc>
          <w:tcPr>
            <w:tcW w:w="868"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eastAsia="zh-CN"/>
              </w:rPr>
              <w:t> </w:t>
            </w:r>
          </w:p>
        </w:tc>
        <w:tc>
          <w:tcPr>
            <w:tcW w:w="868" w:type="dxa"/>
            <w:gridSpan w:val="2"/>
            <w:tcBorders>
              <w:top w:val="nil"/>
              <w:left w:val="nil"/>
              <w:bottom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eastAsia="zh-CN"/>
              </w:rPr>
              <w:t> </w:t>
            </w:r>
          </w:p>
        </w:tc>
      </w:tr>
      <w:tr w:rsidR="00592457" w:rsidRPr="009B23B7" w:rsidTr="00592457">
        <w:trPr>
          <w:trHeight w:val="285"/>
        </w:trPr>
        <w:tc>
          <w:tcPr>
            <w:tcW w:w="6030" w:type="dxa"/>
            <w:tcBorders>
              <w:top w:val="nil"/>
              <w:left w:val="nil"/>
              <w:right w:val="nil"/>
            </w:tcBorders>
            <w:shd w:val="clear" w:color="000000" w:fill="FFFFFF"/>
            <w:noWrap/>
            <w:vAlign w:val="bottom"/>
            <w:hideMark/>
          </w:tcPr>
          <w:p w:rsidR="00592457" w:rsidRPr="009B23B7" w:rsidRDefault="00592457" w:rsidP="00592457">
            <w:pPr>
              <w:ind w:firstLineChars="100" w:firstLine="200"/>
              <w:jc w:val="both"/>
              <w:rPr>
                <w:rFonts w:ascii="Segoe UI" w:hAnsi="Segoe UI" w:cs="Segoe UI"/>
                <w:sz w:val="20"/>
                <w:lang w:val="kk-KZ" w:eastAsia="zh-CN"/>
              </w:rPr>
            </w:pPr>
            <w:r w:rsidRPr="009B23B7">
              <w:rPr>
                <w:rFonts w:ascii="Segoe UI" w:hAnsi="Segoe UI" w:cs="Segoe UI"/>
                <w:bCs/>
                <w:sz w:val="20"/>
                <w:lang w:val="kk-KZ" w:eastAsia="zh-CN"/>
              </w:rPr>
              <w:t>Айырбастау бағамы</w:t>
            </w:r>
            <w:r w:rsidRPr="009B23B7">
              <w:rPr>
                <w:rFonts w:ascii="Segoe UI" w:hAnsi="Segoe UI" w:cs="Segoe UI"/>
                <w:sz w:val="20"/>
                <w:lang w:val="kk-KZ" w:eastAsia="zh-CN"/>
              </w:rPr>
              <w:t xml:space="preserve"> (өткен жылмен салыстырғанда өзгерістер %-бен, АҚШ долларына теңгемен, кезең соңында)</w:t>
            </w:r>
          </w:p>
        </w:tc>
        <w:tc>
          <w:tcPr>
            <w:tcW w:w="720" w:type="dxa"/>
            <w:gridSpan w:val="2"/>
            <w:tcBorders>
              <w:top w:val="nil"/>
              <w:left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15.6</w:t>
            </w:r>
          </w:p>
        </w:tc>
        <w:tc>
          <w:tcPr>
            <w:tcW w:w="720" w:type="dxa"/>
            <w:gridSpan w:val="2"/>
            <w:tcBorders>
              <w:top w:val="nil"/>
              <w:left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rPr>
              <w:t>-0.8</w:t>
            </w:r>
          </w:p>
        </w:tc>
        <w:tc>
          <w:tcPr>
            <w:tcW w:w="868" w:type="dxa"/>
            <w:tcBorders>
              <w:top w:val="nil"/>
              <w:left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eastAsia="zh-CN"/>
              </w:rPr>
              <w:t>…</w:t>
            </w:r>
          </w:p>
        </w:tc>
        <w:tc>
          <w:tcPr>
            <w:tcW w:w="868" w:type="dxa"/>
            <w:gridSpan w:val="2"/>
            <w:tcBorders>
              <w:top w:val="nil"/>
              <w:left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eastAsia="zh-CN"/>
              </w:rPr>
              <w:t>…</w:t>
            </w:r>
          </w:p>
        </w:tc>
        <w:tc>
          <w:tcPr>
            <w:tcW w:w="868" w:type="dxa"/>
            <w:gridSpan w:val="2"/>
            <w:tcBorders>
              <w:top w:val="nil"/>
              <w:left w:val="nil"/>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eastAsia="zh-CN"/>
              </w:rPr>
              <w:t>…</w:t>
            </w:r>
          </w:p>
        </w:tc>
      </w:tr>
      <w:tr w:rsidR="00592457" w:rsidRPr="009B23B7" w:rsidTr="00592457">
        <w:trPr>
          <w:trHeight w:val="285"/>
        </w:trPr>
        <w:tc>
          <w:tcPr>
            <w:tcW w:w="6030" w:type="dxa"/>
            <w:tcBorders>
              <w:top w:val="nil"/>
              <w:left w:val="nil"/>
              <w:bottom w:val="single" w:sz="4" w:space="0" w:color="auto"/>
              <w:right w:val="nil"/>
            </w:tcBorders>
            <w:shd w:val="clear" w:color="000000" w:fill="FFFFFF"/>
            <w:noWrap/>
            <w:vAlign w:val="bottom"/>
            <w:hideMark/>
          </w:tcPr>
          <w:p w:rsidR="00592457" w:rsidRPr="009B23B7" w:rsidRDefault="00592457" w:rsidP="00592457">
            <w:pPr>
              <w:jc w:val="both"/>
              <w:rPr>
                <w:rFonts w:ascii="Segoe UI" w:hAnsi="Segoe UI" w:cs="Segoe UI"/>
                <w:sz w:val="20"/>
                <w:lang w:val="kk-KZ" w:eastAsia="zh-CN"/>
              </w:rPr>
            </w:pPr>
            <w:r w:rsidRPr="009B23B7">
              <w:rPr>
                <w:rFonts w:ascii="Segoe UI" w:hAnsi="Segoe UI" w:cs="Segoe UI"/>
                <w:sz w:val="20"/>
                <w:lang w:val="kk-KZ" w:eastAsia="zh-CN"/>
              </w:rPr>
              <w:t> </w:t>
            </w:r>
          </w:p>
        </w:tc>
        <w:tc>
          <w:tcPr>
            <w:tcW w:w="720" w:type="dxa"/>
            <w:gridSpan w:val="2"/>
            <w:tcBorders>
              <w:top w:val="nil"/>
              <w:left w:val="nil"/>
              <w:bottom w:val="single" w:sz="4" w:space="0" w:color="auto"/>
              <w:right w:val="nil"/>
            </w:tcBorders>
            <w:shd w:val="clear" w:color="000000" w:fill="FFFFFF"/>
            <w:noWrap/>
            <w:vAlign w:val="bottom"/>
            <w:hideMark/>
          </w:tcPr>
          <w:p w:rsidR="00592457" w:rsidRPr="009B23B7" w:rsidRDefault="00592457" w:rsidP="00592457">
            <w:pPr>
              <w:jc w:val="both"/>
              <w:rPr>
                <w:rFonts w:ascii="Segoe UI" w:hAnsi="Segoe UI" w:cs="Segoe UI"/>
                <w:color w:val="FF0000"/>
                <w:sz w:val="20"/>
                <w:lang w:val="kk-KZ" w:eastAsia="zh-CN"/>
              </w:rPr>
            </w:pPr>
            <w:r w:rsidRPr="009B23B7">
              <w:rPr>
                <w:rFonts w:ascii="Segoe UI" w:hAnsi="Segoe UI" w:cs="Segoe UI"/>
                <w:color w:val="FF0000"/>
                <w:sz w:val="20"/>
                <w:lang w:val="kk-KZ" w:eastAsia="zh-CN"/>
              </w:rPr>
              <w:t> </w:t>
            </w:r>
          </w:p>
        </w:tc>
        <w:tc>
          <w:tcPr>
            <w:tcW w:w="720" w:type="dxa"/>
            <w:gridSpan w:val="2"/>
            <w:tcBorders>
              <w:top w:val="nil"/>
              <w:left w:val="nil"/>
              <w:bottom w:val="single" w:sz="4" w:space="0" w:color="auto"/>
              <w:right w:val="nil"/>
            </w:tcBorders>
            <w:shd w:val="clear" w:color="000000" w:fill="FFFFFF"/>
            <w:noWrap/>
            <w:vAlign w:val="bottom"/>
            <w:hideMark/>
          </w:tcPr>
          <w:p w:rsidR="00592457" w:rsidRPr="009B23B7" w:rsidRDefault="00592457" w:rsidP="00592457">
            <w:pPr>
              <w:jc w:val="both"/>
              <w:rPr>
                <w:rFonts w:ascii="Segoe UI" w:hAnsi="Segoe UI" w:cs="Segoe UI"/>
                <w:color w:val="FF0000"/>
                <w:sz w:val="20"/>
                <w:lang w:val="kk-KZ" w:eastAsia="zh-CN"/>
              </w:rPr>
            </w:pPr>
            <w:r w:rsidRPr="009B23B7">
              <w:rPr>
                <w:rFonts w:ascii="Segoe UI" w:hAnsi="Segoe UI" w:cs="Segoe UI"/>
                <w:color w:val="FF0000"/>
                <w:sz w:val="20"/>
                <w:lang w:val="kk-KZ" w:eastAsia="zh-CN"/>
              </w:rPr>
              <w:t> </w:t>
            </w:r>
          </w:p>
        </w:tc>
        <w:tc>
          <w:tcPr>
            <w:tcW w:w="868" w:type="dxa"/>
            <w:tcBorders>
              <w:top w:val="nil"/>
              <w:left w:val="nil"/>
              <w:bottom w:val="single" w:sz="4" w:space="0" w:color="auto"/>
              <w:right w:val="nil"/>
            </w:tcBorders>
            <w:shd w:val="clear" w:color="000000" w:fill="FFFFFF"/>
            <w:noWrap/>
            <w:vAlign w:val="bottom"/>
            <w:hideMark/>
          </w:tcPr>
          <w:p w:rsidR="00592457" w:rsidRPr="009B23B7" w:rsidRDefault="00592457" w:rsidP="00592457">
            <w:pPr>
              <w:jc w:val="both"/>
              <w:rPr>
                <w:rFonts w:ascii="Segoe UI" w:hAnsi="Segoe UI" w:cs="Segoe UI"/>
                <w:color w:val="FF0000"/>
                <w:sz w:val="20"/>
                <w:lang w:val="kk-KZ" w:eastAsia="zh-CN"/>
              </w:rPr>
            </w:pPr>
            <w:r w:rsidRPr="009B23B7">
              <w:rPr>
                <w:rFonts w:ascii="Segoe UI" w:hAnsi="Segoe UI" w:cs="Segoe UI"/>
                <w:color w:val="FF0000"/>
                <w:sz w:val="20"/>
                <w:lang w:val="kk-KZ" w:eastAsia="zh-CN"/>
              </w:rPr>
              <w:t> </w:t>
            </w:r>
          </w:p>
        </w:tc>
        <w:tc>
          <w:tcPr>
            <w:tcW w:w="868" w:type="dxa"/>
            <w:gridSpan w:val="2"/>
            <w:tcBorders>
              <w:top w:val="nil"/>
              <w:left w:val="nil"/>
              <w:bottom w:val="single" w:sz="4" w:space="0" w:color="auto"/>
              <w:right w:val="nil"/>
            </w:tcBorders>
            <w:shd w:val="clear" w:color="000000" w:fill="FFFFFF"/>
            <w:noWrap/>
            <w:vAlign w:val="bottom"/>
            <w:hideMark/>
          </w:tcPr>
          <w:p w:rsidR="00592457" w:rsidRPr="009B23B7" w:rsidRDefault="00592457" w:rsidP="00592457">
            <w:pPr>
              <w:jc w:val="both"/>
              <w:rPr>
                <w:rFonts w:ascii="Segoe UI" w:hAnsi="Segoe UI" w:cs="Segoe UI"/>
                <w:color w:val="FF0000"/>
                <w:sz w:val="20"/>
                <w:lang w:val="kk-KZ" w:eastAsia="zh-CN"/>
              </w:rPr>
            </w:pPr>
            <w:r w:rsidRPr="009B23B7">
              <w:rPr>
                <w:rFonts w:ascii="Segoe UI" w:hAnsi="Segoe UI" w:cs="Segoe UI"/>
                <w:color w:val="FF0000"/>
                <w:sz w:val="20"/>
                <w:lang w:val="kk-KZ" w:eastAsia="zh-CN"/>
              </w:rPr>
              <w:t> </w:t>
            </w:r>
          </w:p>
        </w:tc>
        <w:tc>
          <w:tcPr>
            <w:tcW w:w="868" w:type="dxa"/>
            <w:gridSpan w:val="2"/>
            <w:tcBorders>
              <w:top w:val="nil"/>
              <w:left w:val="nil"/>
              <w:bottom w:val="single" w:sz="4" w:space="0" w:color="auto"/>
              <w:right w:val="nil"/>
            </w:tcBorders>
            <w:shd w:val="clear" w:color="000000" w:fill="FFFFFF"/>
            <w:noWrap/>
            <w:vAlign w:val="bottom"/>
            <w:hideMark/>
          </w:tcPr>
          <w:p w:rsidR="00592457" w:rsidRPr="009B23B7" w:rsidRDefault="00592457" w:rsidP="00592457">
            <w:pPr>
              <w:jc w:val="both"/>
              <w:rPr>
                <w:rFonts w:ascii="Segoe UI" w:hAnsi="Segoe UI" w:cs="Segoe UI"/>
                <w:color w:val="FF0000"/>
                <w:sz w:val="20"/>
                <w:lang w:val="kk-KZ" w:eastAsia="zh-CN"/>
              </w:rPr>
            </w:pPr>
            <w:r w:rsidRPr="009B23B7">
              <w:rPr>
                <w:rFonts w:ascii="Segoe UI" w:hAnsi="Segoe UI" w:cs="Segoe UI"/>
                <w:color w:val="FF0000"/>
                <w:sz w:val="20"/>
                <w:lang w:val="kk-KZ" w:eastAsia="zh-CN"/>
              </w:rPr>
              <w:t> </w:t>
            </w:r>
          </w:p>
        </w:tc>
      </w:tr>
      <w:tr w:rsidR="00592457" w:rsidRPr="009B23B7" w:rsidTr="00592457">
        <w:trPr>
          <w:trHeight w:val="285"/>
        </w:trPr>
        <w:tc>
          <w:tcPr>
            <w:tcW w:w="10074" w:type="dxa"/>
            <w:gridSpan w:val="10"/>
            <w:tcBorders>
              <w:left w:val="nil"/>
              <w:right w:val="nil"/>
            </w:tcBorders>
            <w:shd w:val="clear" w:color="000000" w:fill="FFFFFF"/>
            <w:noWrap/>
            <w:vAlign w:val="bottom"/>
          </w:tcPr>
          <w:p w:rsidR="00592457" w:rsidRPr="009B23B7" w:rsidRDefault="00592457" w:rsidP="00592457">
            <w:pPr>
              <w:jc w:val="both"/>
              <w:rPr>
                <w:rFonts w:ascii="Segoe UI" w:hAnsi="Segoe UI" w:cs="Segoe UI"/>
                <w:color w:val="FF0000"/>
                <w:sz w:val="16"/>
                <w:szCs w:val="16"/>
                <w:lang w:val="kk-KZ" w:eastAsia="zh-CN"/>
              </w:rPr>
            </w:pPr>
            <w:r w:rsidRPr="009B23B7">
              <w:rPr>
                <w:rFonts w:ascii="Segoe UI" w:hAnsi="Segoe UI" w:cs="Segoe UI"/>
                <w:sz w:val="16"/>
                <w:szCs w:val="16"/>
                <w:lang w:val="kk-KZ" w:eastAsia="zh-CN"/>
              </w:rPr>
              <w:t xml:space="preserve">Дереккөздері: Қазақстанның уәкілетті </w:t>
            </w:r>
            <w:r w:rsidRPr="00592457">
              <w:rPr>
                <w:rFonts w:ascii="Segoe UI" w:hAnsi="Segoe UI" w:cs="Segoe UI"/>
                <w:sz w:val="16"/>
                <w:szCs w:val="16"/>
                <w:lang w:val="kk-KZ" w:eastAsia="zh-CN"/>
              </w:rPr>
              <w:t xml:space="preserve">мемлекеттік органдарының ресми есептік деректері, </w:t>
            </w:r>
            <w:r w:rsidRPr="009B23B7">
              <w:rPr>
                <w:rFonts w:ascii="Segoe UI" w:hAnsi="Segoe UI" w:cs="Segoe UI"/>
                <w:sz w:val="16"/>
                <w:szCs w:val="16"/>
                <w:lang w:val="kk-KZ" w:eastAsia="zh-CN"/>
              </w:rPr>
              <w:t>ХВҚ қызметкерлерінің бағалаулары мен болжамдары.</w:t>
            </w:r>
          </w:p>
        </w:tc>
      </w:tr>
    </w:tbl>
    <w:p w:rsidR="00752F5C" w:rsidRPr="009B23B7" w:rsidRDefault="00752F5C" w:rsidP="00752F5C">
      <w:pPr>
        <w:jc w:val="both"/>
        <w:rPr>
          <w:rFonts w:ascii="Segoe UI" w:hAnsi="Segoe UI" w:cs="Segoe UI"/>
          <w:sz w:val="22"/>
          <w:szCs w:val="22"/>
          <w:lang w:val="kk-KZ"/>
        </w:rPr>
      </w:pPr>
    </w:p>
    <w:p w:rsidR="005C79E0" w:rsidRPr="009B23B7" w:rsidRDefault="005C79E0" w:rsidP="00752F5C">
      <w:pPr>
        <w:rPr>
          <w:rFonts w:ascii="Segoe UI" w:hAnsi="Segoe UI" w:cs="Segoe UI"/>
          <w:sz w:val="22"/>
          <w:szCs w:val="22"/>
          <w:lang w:val="kk-KZ"/>
        </w:rPr>
      </w:pPr>
    </w:p>
    <w:sectPr w:rsidR="005C79E0" w:rsidRPr="009B23B7" w:rsidSect="00231A9D">
      <w:headerReference w:type="default" r:id="rId11"/>
      <w:footerReference w:type="default" r:id="rId12"/>
      <w:headerReference w:type="first" r:id="rId13"/>
      <w:footerReference w:type="first" r:id="rId14"/>
      <w:pgSz w:w="11907" w:h="16839" w:code="9"/>
      <w:pgMar w:top="1440" w:right="1440" w:bottom="117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8E4" w:rsidRDefault="00D008E4">
      <w:r>
        <w:separator/>
      </w:r>
    </w:p>
  </w:endnote>
  <w:endnote w:type="continuationSeparator" w:id="0">
    <w:p w:rsidR="00D008E4" w:rsidRDefault="00D00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995" w:rsidRDefault="00A51995">
    <w:pPr>
      <w:pStyle w:val="a9"/>
      <w:tabs>
        <w:tab w:val="clear" w:pos="8640"/>
        <w:tab w:val="right" w:pos="9000"/>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995" w:rsidRDefault="00A51995">
    <w:pPr>
      <w:pStyle w:val="a9"/>
      <w:tabs>
        <w:tab w:val="clear" w:pos="8640"/>
        <w:tab w:val="right" w:pos="900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8E4" w:rsidRDefault="00D008E4">
      <w:r>
        <w:separator/>
      </w:r>
    </w:p>
  </w:footnote>
  <w:footnote w:type="continuationSeparator" w:id="0">
    <w:p w:rsidR="00D008E4" w:rsidRDefault="00D008E4">
      <w:r>
        <w:continuationSeparator/>
      </w:r>
    </w:p>
  </w:footnote>
  <w:footnote w:type="continuationNotice" w:id="1">
    <w:p w:rsidR="00D008E4" w:rsidRDefault="00D008E4">
      <w:pPr>
        <w:jc w:val="right"/>
      </w:pPr>
      <w:r>
        <w:t>(continued)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28516"/>
      <w:docPartObj>
        <w:docPartGallery w:val="Page Numbers (Top of Page)"/>
        <w:docPartUnique/>
      </w:docPartObj>
    </w:sdtPr>
    <w:sdtEndPr>
      <w:rPr>
        <w:rFonts w:ascii="Segoe UI" w:hAnsi="Segoe UI" w:cs="Segoe UI"/>
        <w:sz w:val="22"/>
        <w:szCs w:val="22"/>
      </w:rPr>
    </w:sdtEndPr>
    <w:sdtContent>
      <w:p w:rsidR="00A51995" w:rsidRPr="00586E6D" w:rsidRDefault="0032011A">
        <w:pPr>
          <w:pStyle w:val="a5"/>
          <w:jc w:val="center"/>
          <w:rPr>
            <w:rFonts w:ascii="Segoe UI" w:hAnsi="Segoe UI" w:cs="Segoe UI"/>
            <w:sz w:val="22"/>
            <w:szCs w:val="22"/>
          </w:rPr>
        </w:pPr>
        <w:r w:rsidRPr="00586E6D">
          <w:rPr>
            <w:rFonts w:ascii="Segoe UI" w:hAnsi="Segoe UI" w:cs="Segoe UI"/>
            <w:sz w:val="22"/>
            <w:szCs w:val="22"/>
          </w:rPr>
          <w:fldChar w:fldCharType="begin"/>
        </w:r>
        <w:r w:rsidR="00A51995" w:rsidRPr="00586E6D">
          <w:rPr>
            <w:rFonts w:ascii="Segoe UI" w:hAnsi="Segoe UI" w:cs="Segoe UI"/>
            <w:sz w:val="22"/>
            <w:szCs w:val="22"/>
          </w:rPr>
          <w:instrText xml:space="preserve"> PAGE   \* MERGEFORMAT </w:instrText>
        </w:r>
        <w:r w:rsidRPr="00586E6D">
          <w:rPr>
            <w:rFonts w:ascii="Segoe UI" w:hAnsi="Segoe UI" w:cs="Segoe UI"/>
            <w:sz w:val="22"/>
            <w:szCs w:val="22"/>
          </w:rPr>
          <w:fldChar w:fldCharType="separate"/>
        </w:r>
        <w:r w:rsidR="0029124E">
          <w:rPr>
            <w:rFonts w:ascii="Segoe UI" w:hAnsi="Segoe UI" w:cs="Segoe UI"/>
            <w:noProof/>
            <w:sz w:val="22"/>
            <w:szCs w:val="22"/>
          </w:rPr>
          <w:t>5</w:t>
        </w:r>
        <w:r w:rsidRPr="00586E6D">
          <w:rPr>
            <w:rFonts w:ascii="Segoe UI" w:hAnsi="Segoe UI" w:cs="Segoe UI"/>
            <w:sz w:val="22"/>
            <w:szCs w:val="22"/>
          </w:rPr>
          <w:fldChar w:fldCharType="end"/>
        </w:r>
      </w:p>
    </w:sdtContent>
  </w:sdt>
  <w:p w:rsidR="00A51995" w:rsidRDefault="00A51995">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995" w:rsidRDefault="00A51995" w:rsidP="00422FA4">
    <w:pPr>
      <w:pStyle w:val="a5"/>
      <w:tabs>
        <w:tab w:val="clear" w:pos="4320"/>
        <w:tab w:val="clear" w:pos="8640"/>
        <w:tab w:val="right" w:pos="9540"/>
      </w:tabs>
      <w:rPr>
        <w:sz w:val="22"/>
      </w:rPr>
    </w:pPr>
  </w:p>
  <w:p w:rsidR="00A51995" w:rsidRPr="00246060" w:rsidRDefault="00A51995" w:rsidP="00422FA4">
    <w:pPr>
      <w:pStyle w:val="a5"/>
      <w:tabs>
        <w:tab w:val="clear" w:pos="4320"/>
        <w:tab w:val="clear" w:pos="8640"/>
        <w:tab w:val="right" w:pos="9540"/>
      </w:tabs>
      <w:rPr>
        <w:sz w:val="22"/>
      </w:rPr>
    </w:pPr>
    <w:r w:rsidRPr="00E92AE5">
      <w:rPr>
        <w:noProof/>
        <w:sz w:val="22"/>
        <w:lang w:val="ru-RU" w:eastAsia="ru-RU"/>
      </w:rPr>
      <w:drawing>
        <wp:inline distT="0" distB="0" distL="0" distR="0">
          <wp:extent cx="642482" cy="642482"/>
          <wp:effectExtent l="19050" t="0" r="5218" b="0"/>
          <wp:docPr id="5" name="Picture 5" descr="IMFLog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FLogoEn"/>
                  <pic:cNvPicPr>
                    <a:picLocks noChangeAspect="1" noChangeArrowheads="1"/>
                  </pic:cNvPicPr>
                </pic:nvPicPr>
                <pic:blipFill>
                  <a:blip r:embed="rId1"/>
                  <a:srcRect/>
                  <a:stretch>
                    <a:fillRect/>
                  </a:stretch>
                </pic:blipFill>
                <pic:spPr bwMode="auto">
                  <a:xfrm>
                    <a:off x="0" y="0"/>
                    <a:ext cx="644954" cy="644954"/>
                  </a:xfrm>
                  <a:prstGeom prst="rect">
                    <a:avLst/>
                  </a:prstGeom>
                  <a:noFill/>
                  <a:ln w="9525">
                    <a:noFill/>
                    <a:miter lim="800000"/>
                    <a:headEnd/>
                    <a:tailEnd/>
                  </a:ln>
                </pic:spPr>
              </pic:pic>
            </a:graphicData>
          </a:graphic>
        </wp:inline>
      </w:drawing>
    </w:r>
    <w:r>
      <w:rPr>
        <w:sz w:val="22"/>
      </w:rPr>
      <w:tab/>
      <w:t xml:space="preserve">  </w:t>
    </w:r>
  </w:p>
  <w:p w:rsidR="00A51995" w:rsidRDefault="00A51995">
    <w:pPr>
      <w:pStyle w:val="a5"/>
      <w:tabs>
        <w:tab w:val="clear" w:pos="8640"/>
        <w:tab w:val="right" w:pos="900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9E443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D5C17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C321F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092FA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F9E495C"/>
    <w:lvl w:ilvl="0">
      <w:start w:val="1"/>
      <w:numFmt w:val="bullet"/>
      <w:pStyle w:val="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72F900"/>
    <w:lvl w:ilvl="0">
      <w:start w:val="1"/>
      <w:numFmt w:val="bullet"/>
      <w:pStyle w:val="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95C684A"/>
    <w:lvl w:ilvl="0">
      <w:start w:val="1"/>
      <w:numFmt w:val="bullet"/>
      <w:pStyle w:val="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76226E"/>
    <w:lvl w:ilvl="0">
      <w:start w:val="1"/>
      <w:numFmt w:val="bullet"/>
      <w:pStyle w:val="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90612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E0245FFA"/>
    <w:lvl w:ilvl="0">
      <w:start w:val="1"/>
      <w:numFmt w:val="bullet"/>
      <w:pStyle w:val="a0"/>
      <w:lvlText w:val=""/>
      <w:lvlJc w:val="left"/>
      <w:pPr>
        <w:tabs>
          <w:tab w:val="num" w:pos="720"/>
        </w:tabs>
        <w:ind w:left="720" w:hanging="720"/>
      </w:pPr>
      <w:rPr>
        <w:rFonts w:ascii="Symbol" w:hAnsi="Symbol" w:hint="default"/>
      </w:rPr>
    </w:lvl>
  </w:abstractNum>
  <w:abstractNum w:abstractNumId="10" w15:restartNumberingAfterBreak="0">
    <w:nsid w:val="0773775B"/>
    <w:multiLevelType w:val="hybridMultilevel"/>
    <w:tmpl w:val="56709E74"/>
    <w:lvl w:ilvl="0" w:tplc="33FE22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F44048"/>
    <w:multiLevelType w:val="hybridMultilevel"/>
    <w:tmpl w:val="AB8A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8C3FE3"/>
    <w:multiLevelType w:val="hybridMultilevel"/>
    <w:tmpl w:val="74B0E852"/>
    <w:lvl w:ilvl="0" w:tplc="33FE22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105CA9"/>
    <w:multiLevelType w:val="hybridMultilevel"/>
    <w:tmpl w:val="BE626254"/>
    <w:lvl w:ilvl="0" w:tplc="BFB299D8">
      <w:start w:val="1"/>
      <w:numFmt w:val="decimal"/>
      <w:pStyle w:val="ParagraphNumbering"/>
      <w:lvlText w:val="%1.     "/>
      <w:lvlJc w:val="left"/>
      <w:pPr>
        <w:tabs>
          <w:tab w:val="num" w:pos="720"/>
        </w:tabs>
        <w:ind w:left="0" w:firstLine="0"/>
      </w:pPr>
      <w:rPr>
        <w:rFonts w:ascii="Segoe UI" w:hAnsi="Segoe UI" w:cs="Segoe UI"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61F47F0"/>
    <w:multiLevelType w:val="hybridMultilevel"/>
    <w:tmpl w:val="E94CB1F0"/>
    <w:lvl w:ilvl="0" w:tplc="33FE22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8F065A"/>
    <w:multiLevelType w:val="hybridMultilevel"/>
    <w:tmpl w:val="BA32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D85E71"/>
    <w:multiLevelType w:val="hybridMultilevel"/>
    <w:tmpl w:val="993044AE"/>
    <w:lvl w:ilvl="0" w:tplc="8148212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7A5699"/>
    <w:multiLevelType w:val="hybridMultilevel"/>
    <w:tmpl w:val="E7CAC4BC"/>
    <w:lvl w:ilvl="0" w:tplc="33FE22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E04012"/>
    <w:multiLevelType w:val="hybridMultilevel"/>
    <w:tmpl w:val="7DBC3CDA"/>
    <w:lvl w:ilvl="0" w:tplc="33FE2298">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7B524FD"/>
    <w:multiLevelType w:val="hybridMultilevel"/>
    <w:tmpl w:val="6234BA24"/>
    <w:lvl w:ilvl="0" w:tplc="33FE22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B636AA"/>
    <w:multiLevelType w:val="hybridMultilevel"/>
    <w:tmpl w:val="AC389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C5526A"/>
    <w:multiLevelType w:val="hybridMultilevel"/>
    <w:tmpl w:val="EEE8CFCA"/>
    <w:lvl w:ilvl="0" w:tplc="33FE22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005C0C"/>
    <w:multiLevelType w:val="hybridMultilevel"/>
    <w:tmpl w:val="22E89B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295B39"/>
    <w:multiLevelType w:val="hybridMultilevel"/>
    <w:tmpl w:val="E99A7834"/>
    <w:lvl w:ilvl="0" w:tplc="33FE2298">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3E64490"/>
    <w:multiLevelType w:val="hybridMultilevel"/>
    <w:tmpl w:val="FE887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6C022C7"/>
    <w:multiLevelType w:val="hybridMultilevel"/>
    <w:tmpl w:val="D31E9D92"/>
    <w:lvl w:ilvl="0" w:tplc="33FE22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EA15A1"/>
    <w:multiLevelType w:val="multilevel"/>
    <w:tmpl w:val="FAA42BFC"/>
    <w:lvl w:ilvl="0">
      <w:start w:val="1"/>
      <w:numFmt w:val="upperRoman"/>
      <w:pStyle w:val="1"/>
      <w:suff w:val="nothing"/>
      <w:lvlText w:val="%1.   "/>
      <w:lvlJc w:val="left"/>
      <w:pPr>
        <w:ind w:left="0" w:firstLine="0"/>
      </w:pPr>
      <w:rPr>
        <w:rFonts w:hint="default"/>
      </w:rPr>
    </w:lvl>
    <w:lvl w:ilvl="1">
      <w:start w:val="1"/>
      <w:numFmt w:val="upperLetter"/>
      <w:pStyle w:val="20"/>
      <w:suff w:val="nothing"/>
      <w:lvlText w:val="%2.   "/>
      <w:lvlJc w:val="left"/>
      <w:pPr>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27" w15:restartNumberingAfterBreak="0">
    <w:nsid w:val="76666ADB"/>
    <w:multiLevelType w:val="hybridMultilevel"/>
    <w:tmpl w:val="4B40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AB259B"/>
    <w:multiLevelType w:val="hybridMultilevel"/>
    <w:tmpl w:val="CEB6C390"/>
    <w:lvl w:ilvl="0" w:tplc="33FE2298">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6"/>
  </w:num>
  <w:num w:numId="15">
    <w:abstractNumId w:val="9"/>
  </w:num>
  <w:num w:numId="16">
    <w:abstractNumId w:val="7"/>
  </w:num>
  <w:num w:numId="17">
    <w:abstractNumId w:val="6"/>
  </w:num>
  <w:num w:numId="18">
    <w:abstractNumId w:val="5"/>
  </w:num>
  <w:num w:numId="19">
    <w:abstractNumId w:val="4"/>
  </w:num>
  <w:num w:numId="20">
    <w:abstractNumId w:val="13"/>
  </w:num>
  <w:num w:numId="21">
    <w:abstractNumId w:val="13"/>
  </w:num>
  <w:num w:numId="22">
    <w:abstractNumId w:val="27"/>
  </w:num>
  <w:num w:numId="23">
    <w:abstractNumId w:val="15"/>
  </w:num>
  <w:num w:numId="24">
    <w:abstractNumId w:val="11"/>
  </w:num>
  <w:num w:numId="25">
    <w:abstractNumId w:val="16"/>
  </w:num>
  <w:num w:numId="26">
    <w:abstractNumId w:val="22"/>
  </w:num>
  <w:num w:numId="27">
    <w:abstractNumId w:val="18"/>
  </w:num>
  <w:num w:numId="28">
    <w:abstractNumId w:val="10"/>
  </w:num>
  <w:num w:numId="29">
    <w:abstractNumId w:val="19"/>
  </w:num>
  <w:num w:numId="30">
    <w:abstractNumId w:val="12"/>
  </w:num>
  <w:num w:numId="31">
    <w:abstractNumId w:val="17"/>
  </w:num>
  <w:num w:numId="32">
    <w:abstractNumId w:val="25"/>
  </w:num>
  <w:num w:numId="33">
    <w:abstractNumId w:val="14"/>
  </w:num>
  <w:num w:numId="34">
    <w:abstractNumId w:val="23"/>
  </w:num>
  <w:num w:numId="35">
    <w:abstractNumId w:val="28"/>
  </w:num>
  <w:num w:numId="36">
    <w:abstractNumId w:val="21"/>
  </w:num>
  <w:num w:numId="37">
    <w:abstractNumId w:val="20"/>
  </w:num>
  <w:num w:numId="38">
    <w:abstractNumId w:val="24"/>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DBD"/>
    <w:rsid w:val="00003EA9"/>
    <w:rsid w:val="000076FE"/>
    <w:rsid w:val="00014639"/>
    <w:rsid w:val="0001639D"/>
    <w:rsid w:val="00017AB9"/>
    <w:rsid w:val="000216C4"/>
    <w:rsid w:val="0002310C"/>
    <w:rsid w:val="00023440"/>
    <w:rsid w:val="00025626"/>
    <w:rsid w:val="00035133"/>
    <w:rsid w:val="00040D64"/>
    <w:rsid w:val="00045016"/>
    <w:rsid w:val="00047A8E"/>
    <w:rsid w:val="00060E3F"/>
    <w:rsid w:val="0006211B"/>
    <w:rsid w:val="00072D3D"/>
    <w:rsid w:val="00072ED0"/>
    <w:rsid w:val="000806A3"/>
    <w:rsid w:val="00081144"/>
    <w:rsid w:val="0008412A"/>
    <w:rsid w:val="00085371"/>
    <w:rsid w:val="000877D0"/>
    <w:rsid w:val="00090AF9"/>
    <w:rsid w:val="000926EA"/>
    <w:rsid w:val="00094E9F"/>
    <w:rsid w:val="000979B5"/>
    <w:rsid w:val="000A053B"/>
    <w:rsid w:val="000A61FC"/>
    <w:rsid w:val="000A7E0C"/>
    <w:rsid w:val="000B0445"/>
    <w:rsid w:val="000B1275"/>
    <w:rsid w:val="000B6B65"/>
    <w:rsid w:val="000C0E90"/>
    <w:rsid w:val="000D4D32"/>
    <w:rsid w:val="000D4E29"/>
    <w:rsid w:val="000D731E"/>
    <w:rsid w:val="000E35CB"/>
    <w:rsid w:val="000E4648"/>
    <w:rsid w:val="000E6020"/>
    <w:rsid w:val="000E6E03"/>
    <w:rsid w:val="000F2CB0"/>
    <w:rsid w:val="0010152D"/>
    <w:rsid w:val="00101D30"/>
    <w:rsid w:val="001113B3"/>
    <w:rsid w:val="00113D88"/>
    <w:rsid w:val="0012023B"/>
    <w:rsid w:val="00120630"/>
    <w:rsid w:val="00120BEA"/>
    <w:rsid w:val="001218F7"/>
    <w:rsid w:val="0012222E"/>
    <w:rsid w:val="001246CB"/>
    <w:rsid w:val="00125C51"/>
    <w:rsid w:val="00130925"/>
    <w:rsid w:val="00136D1D"/>
    <w:rsid w:val="0014011A"/>
    <w:rsid w:val="001420E0"/>
    <w:rsid w:val="00151A90"/>
    <w:rsid w:val="0015268B"/>
    <w:rsid w:val="00152D21"/>
    <w:rsid w:val="00154C23"/>
    <w:rsid w:val="00154F8C"/>
    <w:rsid w:val="00160861"/>
    <w:rsid w:val="00163FDC"/>
    <w:rsid w:val="00167055"/>
    <w:rsid w:val="0017125F"/>
    <w:rsid w:val="00173297"/>
    <w:rsid w:val="00174F4A"/>
    <w:rsid w:val="001762DA"/>
    <w:rsid w:val="001777FF"/>
    <w:rsid w:val="001808D6"/>
    <w:rsid w:val="00185F9D"/>
    <w:rsid w:val="00186216"/>
    <w:rsid w:val="001903B2"/>
    <w:rsid w:val="001907DB"/>
    <w:rsid w:val="001B0AE5"/>
    <w:rsid w:val="001B146E"/>
    <w:rsid w:val="001B41F6"/>
    <w:rsid w:val="001C2970"/>
    <w:rsid w:val="001C2A4F"/>
    <w:rsid w:val="001C3B3D"/>
    <w:rsid w:val="001C513B"/>
    <w:rsid w:val="001C641C"/>
    <w:rsid w:val="001C7E9C"/>
    <w:rsid w:val="001D1B51"/>
    <w:rsid w:val="001D2E9E"/>
    <w:rsid w:val="001D36BC"/>
    <w:rsid w:val="001D61B3"/>
    <w:rsid w:val="001E04DD"/>
    <w:rsid w:val="001E2900"/>
    <w:rsid w:val="001E5D39"/>
    <w:rsid w:val="001E781A"/>
    <w:rsid w:val="001E7986"/>
    <w:rsid w:val="001F0AE7"/>
    <w:rsid w:val="001F5D58"/>
    <w:rsid w:val="00200A40"/>
    <w:rsid w:val="002021CD"/>
    <w:rsid w:val="00202869"/>
    <w:rsid w:val="00202CD3"/>
    <w:rsid w:val="00204388"/>
    <w:rsid w:val="002125A6"/>
    <w:rsid w:val="00213962"/>
    <w:rsid w:val="0022118C"/>
    <w:rsid w:val="00221866"/>
    <w:rsid w:val="002221C9"/>
    <w:rsid w:val="00223BC0"/>
    <w:rsid w:val="002278B0"/>
    <w:rsid w:val="002279AB"/>
    <w:rsid w:val="0023165F"/>
    <w:rsid w:val="00231A9D"/>
    <w:rsid w:val="00234F73"/>
    <w:rsid w:val="00241BB0"/>
    <w:rsid w:val="00245EF4"/>
    <w:rsid w:val="00246060"/>
    <w:rsid w:val="00250C19"/>
    <w:rsid w:val="002550FD"/>
    <w:rsid w:val="00257BE1"/>
    <w:rsid w:val="0026396E"/>
    <w:rsid w:val="00266D64"/>
    <w:rsid w:val="00266EBB"/>
    <w:rsid w:val="002673FC"/>
    <w:rsid w:val="0026790C"/>
    <w:rsid w:val="0027525A"/>
    <w:rsid w:val="0027709F"/>
    <w:rsid w:val="00283064"/>
    <w:rsid w:val="002844A6"/>
    <w:rsid w:val="002871FC"/>
    <w:rsid w:val="002875C6"/>
    <w:rsid w:val="0029124E"/>
    <w:rsid w:val="0029227F"/>
    <w:rsid w:val="00292466"/>
    <w:rsid w:val="002934BC"/>
    <w:rsid w:val="002B030F"/>
    <w:rsid w:val="002B35C3"/>
    <w:rsid w:val="002C1EB6"/>
    <w:rsid w:val="002D0D16"/>
    <w:rsid w:val="002D19EA"/>
    <w:rsid w:val="002D2232"/>
    <w:rsid w:val="002D4A3A"/>
    <w:rsid w:val="002D67E6"/>
    <w:rsid w:val="002D7874"/>
    <w:rsid w:val="002E0D6C"/>
    <w:rsid w:val="002E14CC"/>
    <w:rsid w:val="002E35AC"/>
    <w:rsid w:val="002E38B2"/>
    <w:rsid w:val="002E534B"/>
    <w:rsid w:val="002E5EFF"/>
    <w:rsid w:val="002E6FA4"/>
    <w:rsid w:val="002E731A"/>
    <w:rsid w:val="002E77B9"/>
    <w:rsid w:val="002E7A86"/>
    <w:rsid w:val="002F0C5A"/>
    <w:rsid w:val="002F340A"/>
    <w:rsid w:val="002F3C36"/>
    <w:rsid w:val="003002DB"/>
    <w:rsid w:val="00300DF2"/>
    <w:rsid w:val="003028EB"/>
    <w:rsid w:val="00307EA8"/>
    <w:rsid w:val="00311FF7"/>
    <w:rsid w:val="00314A1A"/>
    <w:rsid w:val="003169AD"/>
    <w:rsid w:val="0032011A"/>
    <w:rsid w:val="00322323"/>
    <w:rsid w:val="00327493"/>
    <w:rsid w:val="003368FF"/>
    <w:rsid w:val="003447FD"/>
    <w:rsid w:val="00345E01"/>
    <w:rsid w:val="00347154"/>
    <w:rsid w:val="00351730"/>
    <w:rsid w:val="003556D8"/>
    <w:rsid w:val="00355FAA"/>
    <w:rsid w:val="00356856"/>
    <w:rsid w:val="00357957"/>
    <w:rsid w:val="0036141B"/>
    <w:rsid w:val="00362B2B"/>
    <w:rsid w:val="003647D8"/>
    <w:rsid w:val="00364F5B"/>
    <w:rsid w:val="0037124D"/>
    <w:rsid w:val="00376E2D"/>
    <w:rsid w:val="0038082B"/>
    <w:rsid w:val="0038243D"/>
    <w:rsid w:val="00384F82"/>
    <w:rsid w:val="00385398"/>
    <w:rsid w:val="00385BD4"/>
    <w:rsid w:val="00385F6D"/>
    <w:rsid w:val="0038706B"/>
    <w:rsid w:val="00393524"/>
    <w:rsid w:val="003940F7"/>
    <w:rsid w:val="00397EE9"/>
    <w:rsid w:val="003A059B"/>
    <w:rsid w:val="003A26A7"/>
    <w:rsid w:val="003A7C93"/>
    <w:rsid w:val="003B03D0"/>
    <w:rsid w:val="003B40D2"/>
    <w:rsid w:val="003B76D1"/>
    <w:rsid w:val="003C02B9"/>
    <w:rsid w:val="003C5532"/>
    <w:rsid w:val="003C6BB9"/>
    <w:rsid w:val="003D3FB7"/>
    <w:rsid w:val="003D4042"/>
    <w:rsid w:val="003E166B"/>
    <w:rsid w:val="003E3F0D"/>
    <w:rsid w:val="003E41A9"/>
    <w:rsid w:val="003E5A02"/>
    <w:rsid w:val="003E6803"/>
    <w:rsid w:val="003E702A"/>
    <w:rsid w:val="003E7BE2"/>
    <w:rsid w:val="003F008E"/>
    <w:rsid w:val="003F62BA"/>
    <w:rsid w:val="00401A75"/>
    <w:rsid w:val="0040533C"/>
    <w:rsid w:val="004058C4"/>
    <w:rsid w:val="004111D1"/>
    <w:rsid w:val="00412EE5"/>
    <w:rsid w:val="00414863"/>
    <w:rsid w:val="00422FA4"/>
    <w:rsid w:val="00423FF9"/>
    <w:rsid w:val="004241C9"/>
    <w:rsid w:val="00424296"/>
    <w:rsid w:val="0044658E"/>
    <w:rsid w:val="004478FD"/>
    <w:rsid w:val="00452DF0"/>
    <w:rsid w:val="0045432D"/>
    <w:rsid w:val="0045460D"/>
    <w:rsid w:val="00457B30"/>
    <w:rsid w:val="00466847"/>
    <w:rsid w:val="00467C82"/>
    <w:rsid w:val="00472FA0"/>
    <w:rsid w:val="00475A74"/>
    <w:rsid w:val="0047675D"/>
    <w:rsid w:val="00480CA7"/>
    <w:rsid w:val="004839DD"/>
    <w:rsid w:val="004845A6"/>
    <w:rsid w:val="004872AE"/>
    <w:rsid w:val="004904B9"/>
    <w:rsid w:val="00491726"/>
    <w:rsid w:val="00492BC3"/>
    <w:rsid w:val="00493128"/>
    <w:rsid w:val="004A1A5B"/>
    <w:rsid w:val="004A4A33"/>
    <w:rsid w:val="004B1F17"/>
    <w:rsid w:val="004B22CE"/>
    <w:rsid w:val="004B2C14"/>
    <w:rsid w:val="004B34D5"/>
    <w:rsid w:val="004B4C66"/>
    <w:rsid w:val="004B6DC8"/>
    <w:rsid w:val="004C055E"/>
    <w:rsid w:val="004C250D"/>
    <w:rsid w:val="004E3501"/>
    <w:rsid w:val="004E3A92"/>
    <w:rsid w:val="004E730E"/>
    <w:rsid w:val="004F34FF"/>
    <w:rsid w:val="004F452C"/>
    <w:rsid w:val="004F71BF"/>
    <w:rsid w:val="00503782"/>
    <w:rsid w:val="00505CAA"/>
    <w:rsid w:val="00507089"/>
    <w:rsid w:val="00514E2F"/>
    <w:rsid w:val="005218B2"/>
    <w:rsid w:val="00525674"/>
    <w:rsid w:val="0052684C"/>
    <w:rsid w:val="00526C8B"/>
    <w:rsid w:val="005301E7"/>
    <w:rsid w:val="005311D3"/>
    <w:rsid w:val="005340A4"/>
    <w:rsid w:val="00541726"/>
    <w:rsid w:val="005471D4"/>
    <w:rsid w:val="0054787D"/>
    <w:rsid w:val="00547CDC"/>
    <w:rsid w:val="0055014A"/>
    <w:rsid w:val="005517EE"/>
    <w:rsid w:val="00552DC0"/>
    <w:rsid w:val="00554BAD"/>
    <w:rsid w:val="00554ED2"/>
    <w:rsid w:val="00574D0F"/>
    <w:rsid w:val="00576526"/>
    <w:rsid w:val="0058395F"/>
    <w:rsid w:val="005844A9"/>
    <w:rsid w:val="005854AB"/>
    <w:rsid w:val="00586E6D"/>
    <w:rsid w:val="005912AD"/>
    <w:rsid w:val="00592457"/>
    <w:rsid w:val="005960A2"/>
    <w:rsid w:val="0059640B"/>
    <w:rsid w:val="005A1FAC"/>
    <w:rsid w:val="005A33E8"/>
    <w:rsid w:val="005A3F6B"/>
    <w:rsid w:val="005A4D2F"/>
    <w:rsid w:val="005A7D53"/>
    <w:rsid w:val="005B04A1"/>
    <w:rsid w:val="005B230B"/>
    <w:rsid w:val="005B547D"/>
    <w:rsid w:val="005C0AD9"/>
    <w:rsid w:val="005C0CEE"/>
    <w:rsid w:val="005C3AE0"/>
    <w:rsid w:val="005C4F68"/>
    <w:rsid w:val="005C505D"/>
    <w:rsid w:val="005C5B16"/>
    <w:rsid w:val="005C708C"/>
    <w:rsid w:val="005C79E0"/>
    <w:rsid w:val="005C7ED3"/>
    <w:rsid w:val="005E004F"/>
    <w:rsid w:val="005E43E2"/>
    <w:rsid w:val="005F29C0"/>
    <w:rsid w:val="005F3FA5"/>
    <w:rsid w:val="005F60AB"/>
    <w:rsid w:val="005F6B74"/>
    <w:rsid w:val="005F7933"/>
    <w:rsid w:val="00601748"/>
    <w:rsid w:val="006028DA"/>
    <w:rsid w:val="00604030"/>
    <w:rsid w:val="006059A2"/>
    <w:rsid w:val="00606CA9"/>
    <w:rsid w:val="00610463"/>
    <w:rsid w:val="00613459"/>
    <w:rsid w:val="00613EE2"/>
    <w:rsid w:val="006176C4"/>
    <w:rsid w:val="006300F2"/>
    <w:rsid w:val="006307DE"/>
    <w:rsid w:val="00635487"/>
    <w:rsid w:val="00644096"/>
    <w:rsid w:val="00646385"/>
    <w:rsid w:val="00646C55"/>
    <w:rsid w:val="00647B6E"/>
    <w:rsid w:val="0065320E"/>
    <w:rsid w:val="006540F0"/>
    <w:rsid w:val="0066301D"/>
    <w:rsid w:val="0066323E"/>
    <w:rsid w:val="00664862"/>
    <w:rsid w:val="00665993"/>
    <w:rsid w:val="0066760D"/>
    <w:rsid w:val="0067160B"/>
    <w:rsid w:val="006742DD"/>
    <w:rsid w:val="006752DE"/>
    <w:rsid w:val="006759DB"/>
    <w:rsid w:val="00680C2F"/>
    <w:rsid w:val="00681672"/>
    <w:rsid w:val="00685B96"/>
    <w:rsid w:val="0068665C"/>
    <w:rsid w:val="00686E00"/>
    <w:rsid w:val="006955F0"/>
    <w:rsid w:val="006A0029"/>
    <w:rsid w:val="006A6138"/>
    <w:rsid w:val="006B41B3"/>
    <w:rsid w:val="006B4796"/>
    <w:rsid w:val="006B7E88"/>
    <w:rsid w:val="006C38CA"/>
    <w:rsid w:val="006C4CD8"/>
    <w:rsid w:val="006D189D"/>
    <w:rsid w:val="006D2BCA"/>
    <w:rsid w:val="006D555C"/>
    <w:rsid w:val="006E3F3E"/>
    <w:rsid w:val="006E5280"/>
    <w:rsid w:val="006F02D5"/>
    <w:rsid w:val="006F08B6"/>
    <w:rsid w:val="006F12BB"/>
    <w:rsid w:val="006F1869"/>
    <w:rsid w:val="006F24AC"/>
    <w:rsid w:val="006F668D"/>
    <w:rsid w:val="006F7147"/>
    <w:rsid w:val="006F7F26"/>
    <w:rsid w:val="00703112"/>
    <w:rsid w:val="00704234"/>
    <w:rsid w:val="00704CF5"/>
    <w:rsid w:val="00707E78"/>
    <w:rsid w:val="007141E9"/>
    <w:rsid w:val="00721E8B"/>
    <w:rsid w:val="00723267"/>
    <w:rsid w:val="0072709C"/>
    <w:rsid w:val="0073282B"/>
    <w:rsid w:val="00733242"/>
    <w:rsid w:val="007376A5"/>
    <w:rsid w:val="00740406"/>
    <w:rsid w:val="0074085B"/>
    <w:rsid w:val="00745F19"/>
    <w:rsid w:val="007473BB"/>
    <w:rsid w:val="00750053"/>
    <w:rsid w:val="0075035D"/>
    <w:rsid w:val="007507B7"/>
    <w:rsid w:val="00752F5C"/>
    <w:rsid w:val="00755EFB"/>
    <w:rsid w:val="00761FE0"/>
    <w:rsid w:val="0077096C"/>
    <w:rsid w:val="0077301F"/>
    <w:rsid w:val="00773086"/>
    <w:rsid w:val="007763B6"/>
    <w:rsid w:val="00776E55"/>
    <w:rsid w:val="00777CCF"/>
    <w:rsid w:val="007817BF"/>
    <w:rsid w:val="00784BFC"/>
    <w:rsid w:val="00791184"/>
    <w:rsid w:val="00793705"/>
    <w:rsid w:val="00795009"/>
    <w:rsid w:val="007A31C9"/>
    <w:rsid w:val="007A3474"/>
    <w:rsid w:val="007A427C"/>
    <w:rsid w:val="007C113F"/>
    <w:rsid w:val="007C1768"/>
    <w:rsid w:val="007C4832"/>
    <w:rsid w:val="007D6B5A"/>
    <w:rsid w:val="007D78DC"/>
    <w:rsid w:val="007E0A22"/>
    <w:rsid w:val="007E74D2"/>
    <w:rsid w:val="007F27E2"/>
    <w:rsid w:val="007F5131"/>
    <w:rsid w:val="00801BE9"/>
    <w:rsid w:val="00803B4C"/>
    <w:rsid w:val="00803B88"/>
    <w:rsid w:val="00810F79"/>
    <w:rsid w:val="00811951"/>
    <w:rsid w:val="008130C5"/>
    <w:rsid w:val="00815AB3"/>
    <w:rsid w:val="0081675C"/>
    <w:rsid w:val="00816A99"/>
    <w:rsid w:val="00816E16"/>
    <w:rsid w:val="00823B0E"/>
    <w:rsid w:val="00824156"/>
    <w:rsid w:val="00831172"/>
    <w:rsid w:val="008317FA"/>
    <w:rsid w:val="00831AC8"/>
    <w:rsid w:val="00835972"/>
    <w:rsid w:val="00840E44"/>
    <w:rsid w:val="00850254"/>
    <w:rsid w:val="00857F72"/>
    <w:rsid w:val="00860616"/>
    <w:rsid w:val="00862E13"/>
    <w:rsid w:val="00865FE3"/>
    <w:rsid w:val="00870061"/>
    <w:rsid w:val="0087666A"/>
    <w:rsid w:val="00877CD7"/>
    <w:rsid w:val="00877D24"/>
    <w:rsid w:val="0088079B"/>
    <w:rsid w:val="008848BB"/>
    <w:rsid w:val="00890E49"/>
    <w:rsid w:val="0089201B"/>
    <w:rsid w:val="008955F2"/>
    <w:rsid w:val="008970D0"/>
    <w:rsid w:val="008A1E1B"/>
    <w:rsid w:val="008A365A"/>
    <w:rsid w:val="008A5E8C"/>
    <w:rsid w:val="008A7C01"/>
    <w:rsid w:val="008B295B"/>
    <w:rsid w:val="008B2D9C"/>
    <w:rsid w:val="008B406E"/>
    <w:rsid w:val="008B646F"/>
    <w:rsid w:val="008C460E"/>
    <w:rsid w:val="008C6DEB"/>
    <w:rsid w:val="008C6EE1"/>
    <w:rsid w:val="008C6F54"/>
    <w:rsid w:val="008C7D6E"/>
    <w:rsid w:val="008D3154"/>
    <w:rsid w:val="008D6CE9"/>
    <w:rsid w:val="008E3FCD"/>
    <w:rsid w:val="008E620A"/>
    <w:rsid w:val="008E7FAD"/>
    <w:rsid w:val="008F00C1"/>
    <w:rsid w:val="008F2691"/>
    <w:rsid w:val="00903D2D"/>
    <w:rsid w:val="00907AC4"/>
    <w:rsid w:val="00907EDD"/>
    <w:rsid w:val="00911A3B"/>
    <w:rsid w:val="00912018"/>
    <w:rsid w:val="00912105"/>
    <w:rsid w:val="00913949"/>
    <w:rsid w:val="00913F8B"/>
    <w:rsid w:val="009253CE"/>
    <w:rsid w:val="00930353"/>
    <w:rsid w:val="00930B01"/>
    <w:rsid w:val="00931825"/>
    <w:rsid w:val="0093236B"/>
    <w:rsid w:val="009343A4"/>
    <w:rsid w:val="00936583"/>
    <w:rsid w:val="00941667"/>
    <w:rsid w:val="00944E52"/>
    <w:rsid w:val="00946161"/>
    <w:rsid w:val="009463F3"/>
    <w:rsid w:val="00950720"/>
    <w:rsid w:val="00952688"/>
    <w:rsid w:val="00956A5B"/>
    <w:rsid w:val="0096041D"/>
    <w:rsid w:val="0096044A"/>
    <w:rsid w:val="009607AF"/>
    <w:rsid w:val="00964D8E"/>
    <w:rsid w:val="00967072"/>
    <w:rsid w:val="00972BC3"/>
    <w:rsid w:val="009744C9"/>
    <w:rsid w:val="00975CD9"/>
    <w:rsid w:val="009808E2"/>
    <w:rsid w:val="00983994"/>
    <w:rsid w:val="00983B79"/>
    <w:rsid w:val="0098778F"/>
    <w:rsid w:val="00992232"/>
    <w:rsid w:val="009945E1"/>
    <w:rsid w:val="00994A05"/>
    <w:rsid w:val="009A3A45"/>
    <w:rsid w:val="009A6646"/>
    <w:rsid w:val="009B23B7"/>
    <w:rsid w:val="009B382C"/>
    <w:rsid w:val="009C07EE"/>
    <w:rsid w:val="009C3ED5"/>
    <w:rsid w:val="009C61BE"/>
    <w:rsid w:val="009C689F"/>
    <w:rsid w:val="009C77CB"/>
    <w:rsid w:val="009D0D1B"/>
    <w:rsid w:val="009D0EFA"/>
    <w:rsid w:val="009D2E12"/>
    <w:rsid w:val="009D3C3E"/>
    <w:rsid w:val="009D6B4C"/>
    <w:rsid w:val="009E7795"/>
    <w:rsid w:val="009F4785"/>
    <w:rsid w:val="009F4DBC"/>
    <w:rsid w:val="009F51CE"/>
    <w:rsid w:val="009F6EFC"/>
    <w:rsid w:val="009F7774"/>
    <w:rsid w:val="009F7991"/>
    <w:rsid w:val="00A00641"/>
    <w:rsid w:val="00A0726B"/>
    <w:rsid w:val="00A132C6"/>
    <w:rsid w:val="00A1443A"/>
    <w:rsid w:val="00A14DBD"/>
    <w:rsid w:val="00A157F3"/>
    <w:rsid w:val="00A167A4"/>
    <w:rsid w:val="00A17F60"/>
    <w:rsid w:val="00A22570"/>
    <w:rsid w:val="00A258CC"/>
    <w:rsid w:val="00A278B9"/>
    <w:rsid w:val="00A31A4A"/>
    <w:rsid w:val="00A34E57"/>
    <w:rsid w:val="00A37791"/>
    <w:rsid w:val="00A40434"/>
    <w:rsid w:val="00A46558"/>
    <w:rsid w:val="00A47F53"/>
    <w:rsid w:val="00A51995"/>
    <w:rsid w:val="00A567F1"/>
    <w:rsid w:val="00A62070"/>
    <w:rsid w:val="00A63B93"/>
    <w:rsid w:val="00A641B3"/>
    <w:rsid w:val="00A6766A"/>
    <w:rsid w:val="00A7021D"/>
    <w:rsid w:val="00A723EE"/>
    <w:rsid w:val="00A739B6"/>
    <w:rsid w:val="00A8205A"/>
    <w:rsid w:val="00A83092"/>
    <w:rsid w:val="00A83346"/>
    <w:rsid w:val="00A85C11"/>
    <w:rsid w:val="00A86121"/>
    <w:rsid w:val="00A8779D"/>
    <w:rsid w:val="00A9049F"/>
    <w:rsid w:val="00A91B15"/>
    <w:rsid w:val="00A92D12"/>
    <w:rsid w:val="00A95015"/>
    <w:rsid w:val="00AA26D2"/>
    <w:rsid w:val="00AA4510"/>
    <w:rsid w:val="00AB12CC"/>
    <w:rsid w:val="00AB22C7"/>
    <w:rsid w:val="00AC22D9"/>
    <w:rsid w:val="00AC6576"/>
    <w:rsid w:val="00AD270F"/>
    <w:rsid w:val="00AD5249"/>
    <w:rsid w:val="00AE1F6B"/>
    <w:rsid w:val="00AE6827"/>
    <w:rsid w:val="00AE6C05"/>
    <w:rsid w:val="00AF2128"/>
    <w:rsid w:val="00AF36FB"/>
    <w:rsid w:val="00AF7A85"/>
    <w:rsid w:val="00B00429"/>
    <w:rsid w:val="00B028CA"/>
    <w:rsid w:val="00B07FC3"/>
    <w:rsid w:val="00B127CE"/>
    <w:rsid w:val="00B16270"/>
    <w:rsid w:val="00B22249"/>
    <w:rsid w:val="00B26F1F"/>
    <w:rsid w:val="00B345E0"/>
    <w:rsid w:val="00B41C02"/>
    <w:rsid w:val="00B41DF3"/>
    <w:rsid w:val="00B43A0F"/>
    <w:rsid w:val="00B4774D"/>
    <w:rsid w:val="00B637C1"/>
    <w:rsid w:val="00B637D0"/>
    <w:rsid w:val="00B666BE"/>
    <w:rsid w:val="00B67C14"/>
    <w:rsid w:val="00B7325F"/>
    <w:rsid w:val="00B743C4"/>
    <w:rsid w:val="00B84AE0"/>
    <w:rsid w:val="00B84CB5"/>
    <w:rsid w:val="00B85654"/>
    <w:rsid w:val="00B90A84"/>
    <w:rsid w:val="00B925B1"/>
    <w:rsid w:val="00B93A47"/>
    <w:rsid w:val="00B946D3"/>
    <w:rsid w:val="00B948AC"/>
    <w:rsid w:val="00B955E7"/>
    <w:rsid w:val="00B95EFB"/>
    <w:rsid w:val="00B96085"/>
    <w:rsid w:val="00BA517B"/>
    <w:rsid w:val="00BA72C2"/>
    <w:rsid w:val="00BB39DB"/>
    <w:rsid w:val="00BB4670"/>
    <w:rsid w:val="00BB5471"/>
    <w:rsid w:val="00BC0948"/>
    <w:rsid w:val="00BC2ED9"/>
    <w:rsid w:val="00BC6273"/>
    <w:rsid w:val="00BC7EAF"/>
    <w:rsid w:val="00BD0AB0"/>
    <w:rsid w:val="00BD14D6"/>
    <w:rsid w:val="00BD1AB9"/>
    <w:rsid w:val="00BD267A"/>
    <w:rsid w:val="00BD4ECD"/>
    <w:rsid w:val="00BE5DA9"/>
    <w:rsid w:val="00BF1CD3"/>
    <w:rsid w:val="00BF2262"/>
    <w:rsid w:val="00BF3B37"/>
    <w:rsid w:val="00C0234D"/>
    <w:rsid w:val="00C0311F"/>
    <w:rsid w:val="00C0595C"/>
    <w:rsid w:val="00C05C83"/>
    <w:rsid w:val="00C11CEA"/>
    <w:rsid w:val="00C11DE3"/>
    <w:rsid w:val="00C11FCC"/>
    <w:rsid w:val="00C15FDE"/>
    <w:rsid w:val="00C16A44"/>
    <w:rsid w:val="00C1795B"/>
    <w:rsid w:val="00C17EBA"/>
    <w:rsid w:val="00C217B3"/>
    <w:rsid w:val="00C225D0"/>
    <w:rsid w:val="00C2374C"/>
    <w:rsid w:val="00C23C16"/>
    <w:rsid w:val="00C268B5"/>
    <w:rsid w:val="00C3135C"/>
    <w:rsid w:val="00C33609"/>
    <w:rsid w:val="00C410E7"/>
    <w:rsid w:val="00C43006"/>
    <w:rsid w:val="00C508DC"/>
    <w:rsid w:val="00C51CB6"/>
    <w:rsid w:val="00C53C06"/>
    <w:rsid w:val="00C55408"/>
    <w:rsid w:val="00C63409"/>
    <w:rsid w:val="00C6679F"/>
    <w:rsid w:val="00C66DBE"/>
    <w:rsid w:val="00C66FEA"/>
    <w:rsid w:val="00C6776F"/>
    <w:rsid w:val="00C70E4C"/>
    <w:rsid w:val="00C72005"/>
    <w:rsid w:val="00C72F0F"/>
    <w:rsid w:val="00C7341A"/>
    <w:rsid w:val="00C77724"/>
    <w:rsid w:val="00C83D22"/>
    <w:rsid w:val="00C840A1"/>
    <w:rsid w:val="00C9193D"/>
    <w:rsid w:val="00C92879"/>
    <w:rsid w:val="00C932B0"/>
    <w:rsid w:val="00C9360F"/>
    <w:rsid w:val="00C96A66"/>
    <w:rsid w:val="00C9709E"/>
    <w:rsid w:val="00CA183C"/>
    <w:rsid w:val="00CA1B8A"/>
    <w:rsid w:val="00CA2923"/>
    <w:rsid w:val="00CA6AEA"/>
    <w:rsid w:val="00CB3CFA"/>
    <w:rsid w:val="00CB5347"/>
    <w:rsid w:val="00CB69AE"/>
    <w:rsid w:val="00CC6C8D"/>
    <w:rsid w:val="00CD017B"/>
    <w:rsid w:val="00CD2290"/>
    <w:rsid w:val="00CD62E5"/>
    <w:rsid w:val="00CD7B0F"/>
    <w:rsid w:val="00CE1640"/>
    <w:rsid w:val="00CE18D7"/>
    <w:rsid w:val="00CE5F25"/>
    <w:rsid w:val="00CF02EC"/>
    <w:rsid w:val="00CF3346"/>
    <w:rsid w:val="00CF3B21"/>
    <w:rsid w:val="00D008E4"/>
    <w:rsid w:val="00D01F1A"/>
    <w:rsid w:val="00D03396"/>
    <w:rsid w:val="00D10B79"/>
    <w:rsid w:val="00D14BDF"/>
    <w:rsid w:val="00D16207"/>
    <w:rsid w:val="00D16A73"/>
    <w:rsid w:val="00D214DB"/>
    <w:rsid w:val="00D26BB7"/>
    <w:rsid w:val="00D27BFE"/>
    <w:rsid w:val="00D41F27"/>
    <w:rsid w:val="00D46ED7"/>
    <w:rsid w:val="00D47014"/>
    <w:rsid w:val="00D52519"/>
    <w:rsid w:val="00D52951"/>
    <w:rsid w:val="00D5439F"/>
    <w:rsid w:val="00D62ECB"/>
    <w:rsid w:val="00D6511E"/>
    <w:rsid w:val="00D701DC"/>
    <w:rsid w:val="00D70FB1"/>
    <w:rsid w:val="00D73297"/>
    <w:rsid w:val="00D82180"/>
    <w:rsid w:val="00D83CC1"/>
    <w:rsid w:val="00D83FF6"/>
    <w:rsid w:val="00D8554A"/>
    <w:rsid w:val="00D92EF1"/>
    <w:rsid w:val="00D95B50"/>
    <w:rsid w:val="00D976A0"/>
    <w:rsid w:val="00D97CDE"/>
    <w:rsid w:val="00DA2458"/>
    <w:rsid w:val="00DA627B"/>
    <w:rsid w:val="00DB0089"/>
    <w:rsid w:val="00DB1095"/>
    <w:rsid w:val="00DB7192"/>
    <w:rsid w:val="00DC05CF"/>
    <w:rsid w:val="00DC0C1F"/>
    <w:rsid w:val="00DC0CD1"/>
    <w:rsid w:val="00DC79EF"/>
    <w:rsid w:val="00DC7EB4"/>
    <w:rsid w:val="00DD110A"/>
    <w:rsid w:val="00DD5056"/>
    <w:rsid w:val="00DE282C"/>
    <w:rsid w:val="00DE48EF"/>
    <w:rsid w:val="00DE6690"/>
    <w:rsid w:val="00DE6D68"/>
    <w:rsid w:val="00DE7AB9"/>
    <w:rsid w:val="00DF2A41"/>
    <w:rsid w:val="00DF2F99"/>
    <w:rsid w:val="00DF3307"/>
    <w:rsid w:val="00DF5B05"/>
    <w:rsid w:val="00E003A3"/>
    <w:rsid w:val="00E10144"/>
    <w:rsid w:val="00E13291"/>
    <w:rsid w:val="00E22124"/>
    <w:rsid w:val="00E234F7"/>
    <w:rsid w:val="00E2383A"/>
    <w:rsid w:val="00E24CF1"/>
    <w:rsid w:val="00E438D6"/>
    <w:rsid w:val="00E45627"/>
    <w:rsid w:val="00E457B0"/>
    <w:rsid w:val="00E46358"/>
    <w:rsid w:val="00E5132E"/>
    <w:rsid w:val="00E54962"/>
    <w:rsid w:val="00E61CCF"/>
    <w:rsid w:val="00E62A95"/>
    <w:rsid w:val="00E636CF"/>
    <w:rsid w:val="00E63A45"/>
    <w:rsid w:val="00E65264"/>
    <w:rsid w:val="00E66B93"/>
    <w:rsid w:val="00E676DC"/>
    <w:rsid w:val="00E7170B"/>
    <w:rsid w:val="00E72BAA"/>
    <w:rsid w:val="00E77E0C"/>
    <w:rsid w:val="00E81C2F"/>
    <w:rsid w:val="00E8374C"/>
    <w:rsid w:val="00E85A2D"/>
    <w:rsid w:val="00E919BF"/>
    <w:rsid w:val="00E97043"/>
    <w:rsid w:val="00EA20FE"/>
    <w:rsid w:val="00EA2571"/>
    <w:rsid w:val="00EA597F"/>
    <w:rsid w:val="00EA643F"/>
    <w:rsid w:val="00EB1B50"/>
    <w:rsid w:val="00EB748B"/>
    <w:rsid w:val="00EC34D2"/>
    <w:rsid w:val="00EC50F2"/>
    <w:rsid w:val="00EC67A0"/>
    <w:rsid w:val="00EE0751"/>
    <w:rsid w:val="00EE0EC5"/>
    <w:rsid w:val="00EF1CB4"/>
    <w:rsid w:val="00EF3079"/>
    <w:rsid w:val="00F02EEC"/>
    <w:rsid w:val="00F03772"/>
    <w:rsid w:val="00F03879"/>
    <w:rsid w:val="00F0638B"/>
    <w:rsid w:val="00F16997"/>
    <w:rsid w:val="00F1737F"/>
    <w:rsid w:val="00F2553D"/>
    <w:rsid w:val="00F305EA"/>
    <w:rsid w:val="00F3299F"/>
    <w:rsid w:val="00F3315B"/>
    <w:rsid w:val="00F3380E"/>
    <w:rsid w:val="00F34135"/>
    <w:rsid w:val="00F34F61"/>
    <w:rsid w:val="00F36689"/>
    <w:rsid w:val="00F446CC"/>
    <w:rsid w:val="00F44C25"/>
    <w:rsid w:val="00F57BC5"/>
    <w:rsid w:val="00F622E8"/>
    <w:rsid w:val="00F63F17"/>
    <w:rsid w:val="00F72DBE"/>
    <w:rsid w:val="00F76A83"/>
    <w:rsid w:val="00F77AE5"/>
    <w:rsid w:val="00F8028C"/>
    <w:rsid w:val="00F80C7F"/>
    <w:rsid w:val="00F81583"/>
    <w:rsid w:val="00F831F2"/>
    <w:rsid w:val="00F83BDC"/>
    <w:rsid w:val="00F934D1"/>
    <w:rsid w:val="00F9372C"/>
    <w:rsid w:val="00FA16F2"/>
    <w:rsid w:val="00FA26EA"/>
    <w:rsid w:val="00FA4809"/>
    <w:rsid w:val="00FA5035"/>
    <w:rsid w:val="00FA55B4"/>
    <w:rsid w:val="00FB11CD"/>
    <w:rsid w:val="00FB28F9"/>
    <w:rsid w:val="00FB4560"/>
    <w:rsid w:val="00FB7957"/>
    <w:rsid w:val="00FD050A"/>
    <w:rsid w:val="00FD0A15"/>
    <w:rsid w:val="00FE41BC"/>
    <w:rsid w:val="00FF1934"/>
    <w:rsid w:val="00FF3C6A"/>
    <w:rsid w:val="00FF76FF"/>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E91D3FA-A09D-4575-8C40-CD57FA2D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pPr>
        <w:spacing w:line="264"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8" w:unhideWhenUsed="1"/>
    <w:lsdException w:name="footnote text" w:semiHidden="1" w:uiPriority="99" w:unhideWhenUsed="1"/>
    <w:lsdException w:name="annotation text" w:semiHidden="1" w:uiPriority="8" w:unhideWhenUsed="1"/>
    <w:lsdException w:name="header" w:semiHidden="1" w:uiPriority="99" w:unhideWhenUsed="1"/>
    <w:lsdException w:name="footer" w:semiHidden="1" w:unhideWhenUsed="1"/>
    <w:lsdException w:name="index heading" w:semiHidden="1" w:uiPriority="8" w:unhideWhenUsed="1"/>
    <w:lsdException w:name="caption" w:semiHidden="1" w:uiPriority="8" w:unhideWhenUsed="1" w:qFormat="1"/>
    <w:lsdException w:name="table of figures" w:semiHidden="1" w:uiPriority="8" w:unhideWhenUsed="1"/>
    <w:lsdException w:name="envelope address" w:semiHidden="1" w:uiPriority="8" w:unhideWhenUsed="1"/>
    <w:lsdException w:name="envelope return" w:semiHidden="1" w:uiPriority="8" w:unhideWhenUsed="1"/>
    <w:lsdException w:name="footnote reference" w:semiHidden="1" w:uiPriority="99" w:unhideWhenUsed="1"/>
    <w:lsdException w:name="annotation reference" w:semiHidden="1" w:uiPriority="8" w:unhideWhenUsed="1"/>
    <w:lsdException w:name="line number" w:semiHidden="1" w:uiPriority="8" w:unhideWhenUsed="1"/>
    <w:lsdException w:name="page number" w:semiHidden="1" w:uiPriority="8" w:unhideWhenUsed="1"/>
    <w:lsdException w:name="endnote reference" w:semiHidden="1" w:uiPriority="8" w:unhideWhenUsed="1"/>
    <w:lsdException w:name="endnote text" w:semiHidden="1" w:uiPriority="8" w:unhideWhenUsed="1"/>
    <w:lsdException w:name="table of authorities" w:semiHidden="1" w:uiPriority="8" w:unhideWhenUsed="1"/>
    <w:lsdException w:name="macro" w:semiHidden="1" w:uiPriority="8" w:unhideWhenUsed="1"/>
    <w:lsdException w:name="toa heading" w:uiPriority="8"/>
    <w:lsdException w:name="List" w:semiHidden="1" w:uiPriority="8" w:unhideWhenUsed="1"/>
    <w:lsdException w:name="List Bullet" w:semiHidden="1" w:unhideWhenUsed="1" w:qFormat="1"/>
    <w:lsdException w:name="List Number" w:uiPriority="8"/>
    <w:lsdException w:name="List 2" w:uiPriority="8"/>
    <w:lsdException w:name="List 3" w:semiHidden="1" w:uiPriority="8" w:unhideWhenUsed="1"/>
    <w:lsdException w:name="List 4" w:semiHidden="1" w:uiPriority="8" w:unhideWhenUsed="1"/>
    <w:lsdException w:name="List 5" w:semiHidden="1" w:uiPriority="8"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8" w:unhideWhenUsed="1"/>
    <w:lsdException w:name="List Number 3" w:semiHidden="1" w:uiPriority="8" w:unhideWhenUsed="1"/>
    <w:lsdException w:name="List Number 4" w:semiHidden="1" w:uiPriority="8" w:unhideWhenUsed="1"/>
    <w:lsdException w:name="List Number 5" w:semiHidden="1" w:uiPriority="8" w:unhideWhenUsed="1"/>
    <w:lsdException w:name="Closing" w:semiHidden="1" w:uiPriority="8" w:unhideWhenUsed="1"/>
    <w:lsdException w:name="Signature" w:semiHidden="1" w:uiPriority="8" w:unhideWhenUsed="1"/>
    <w:lsdException w:name="Default Paragraph Font" w:semiHidden="1" w:unhideWhenUsed="1"/>
    <w:lsdException w:name="Body Text" w:semiHidden="1" w:uiPriority="8" w:unhideWhenUsed="1"/>
    <w:lsdException w:name="Body Text Indent" w:semiHidden="1" w:uiPriority="8" w:unhideWhenUsed="1"/>
    <w:lsdException w:name="List Continue" w:semiHidden="1" w:uiPriority="8" w:unhideWhenUsed="1"/>
    <w:lsdException w:name="List Continue 2" w:semiHidden="1" w:uiPriority="8" w:unhideWhenUsed="1"/>
    <w:lsdException w:name="List Continue 3" w:semiHidden="1" w:uiPriority="8" w:unhideWhenUsed="1"/>
    <w:lsdException w:name="List Continue 4" w:uiPriority="8"/>
    <w:lsdException w:name="List Continue 5" w:uiPriority="8"/>
    <w:lsdException w:name="Message Header" w:uiPriority="8"/>
    <w:lsdException w:name="Subtitle" w:uiPriority="8"/>
    <w:lsdException w:name="Salutation" w:semiHidden="1" w:uiPriority="8" w:unhideWhenUsed="1"/>
    <w:lsdException w:name="Date" w:semiHidden="1" w:uiPriority="8" w:unhideWhenUsed="1"/>
    <w:lsdException w:name="Body Text First Indent" w:semiHidden="1" w:uiPriority="8" w:unhideWhenUsed="1"/>
    <w:lsdException w:name="Body Text First Indent 2" w:semiHidden="1" w:uiPriority="8" w:unhideWhenUsed="1"/>
    <w:lsdException w:name="Note Heading" w:semiHidden="1" w:uiPriority="8" w:unhideWhenUsed="1"/>
    <w:lsdException w:name="Body Text 2" w:semiHidden="1" w:uiPriority="8" w:unhideWhenUsed="1"/>
    <w:lsdException w:name="Body Text 3" w:semiHidden="1" w:uiPriority="8" w:unhideWhenUsed="1"/>
    <w:lsdException w:name="Body Text Indent 2" w:semiHidden="1" w:uiPriority="8" w:unhideWhenUsed="1"/>
    <w:lsdException w:name="Body Text Indent 3" w:semiHidden="1" w:uiPriority="8" w:unhideWhenUsed="1"/>
    <w:lsdException w:name="Block Text" w:semiHidden="1" w:uiPriority="8" w:unhideWhenUsed="1"/>
    <w:lsdException w:name="Hyperlink" w:semiHidden="1" w:uiPriority="8" w:unhideWhenUsed="1"/>
    <w:lsdException w:name="FollowedHyperlink" w:semiHidden="1" w:uiPriority="8" w:unhideWhenUsed="1"/>
    <w:lsdException w:name="Strong" w:uiPriority="8" w:qFormat="1"/>
    <w:lsdException w:name="Emphasis" w:uiPriority="20" w:qFormat="1"/>
    <w:lsdException w:name="Document Map" w:semiHidden="1" w:uiPriority="8" w:unhideWhenUsed="1"/>
    <w:lsdException w:name="Plain Text" w:semiHidden="1" w:uiPriority="8" w:unhideWhenUsed="1"/>
    <w:lsdException w:name="E-mail Signature" w:semiHidden="1" w:uiPriority="8" w:unhideWhenUsed="1"/>
    <w:lsdException w:name="HTML Top of Form" w:semiHidden="1" w:unhideWhenUsed="1"/>
    <w:lsdException w:name="HTML Bottom of Form" w:semiHidden="1" w:unhideWhenUsed="1"/>
    <w:lsdException w:name="Normal (Web)" w:semiHidden="1" w:uiPriority="8" w:unhideWhenUsed="1"/>
    <w:lsdException w:name="HTML Acronym" w:semiHidden="1" w:uiPriority="8" w:unhideWhenUsed="1"/>
    <w:lsdException w:name="HTML Address" w:semiHidden="1" w:uiPriority="8" w:unhideWhenUsed="1"/>
    <w:lsdException w:name="HTML Cite" w:semiHidden="1" w:uiPriority="8" w:unhideWhenUsed="1"/>
    <w:lsdException w:name="HTML Code" w:semiHidden="1" w:uiPriority="8" w:unhideWhenUsed="1"/>
    <w:lsdException w:name="HTML Definition" w:semiHidden="1" w:uiPriority="8" w:unhideWhenUsed="1"/>
    <w:lsdException w:name="HTML Keyboard" w:semiHidden="1" w:uiPriority="8" w:unhideWhenUsed="1"/>
    <w:lsdException w:name="HTML Preformatted" w:semiHidden="1" w:uiPriority="8" w:unhideWhenUsed="1"/>
    <w:lsdException w:name="HTML Sample" w:semiHidden="1" w:uiPriority="8" w:unhideWhenUsed="1"/>
    <w:lsdException w:name="HTML Typewriter" w:semiHidden="1" w:uiPriority="8" w:unhideWhenUsed="1"/>
    <w:lsdException w:name="HTML Variable" w:semiHidden="1" w:uiPriority="8" w:unhideWhenUsed="1"/>
    <w:lsdException w:name="Normal Table" w:semiHidden="1" w:unhideWhenUsed="1"/>
    <w:lsdException w:name="annotation subject" w:semiHidden="1" w:uiPriority="8"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8" w:unhideWhenUsed="1"/>
    <w:lsdException w:name="Table Theme" w:semiHidden="1" w:unhideWhenUsed="1"/>
    <w:lsdException w:name="Placeholder Text" w:semiHidden="1" w:uiPriority="99"/>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37" w:qFormat="1"/>
    <w:lsdException w:name="Intense Quote" w:uiPriority="3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7"/>
    <w:lsdException w:name="Intense Emphasis" w:uiPriority="29"/>
    <w:lsdException w:name="Subtle Reference" w:uiPriority="39"/>
    <w:lsdException w:name="Intense Reference" w:uiPriority="40"/>
    <w:lsdException w:name="Book Title" w:uiPriority="41" w:qFormat="1"/>
    <w:lsdException w:name="Bibliography" w:semiHidden="1" w:uiPriority="45" w:unhideWhenUsed="1"/>
    <w:lsdException w:name="TOC Heading"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83FF6"/>
    <w:pPr>
      <w:spacing w:line="240" w:lineRule="auto"/>
    </w:pPr>
    <w:rPr>
      <w:rFonts w:eastAsia="Times New Roman"/>
      <w:sz w:val="24"/>
    </w:rPr>
  </w:style>
  <w:style w:type="paragraph" w:styleId="1">
    <w:name w:val="heading 1"/>
    <w:basedOn w:val="a1"/>
    <w:next w:val="a1"/>
    <w:uiPriority w:val="3"/>
    <w:qFormat/>
    <w:rsid w:val="00327493"/>
    <w:pPr>
      <w:keepNext/>
      <w:numPr>
        <w:numId w:val="14"/>
      </w:numPr>
      <w:spacing w:after="240"/>
      <w:jc w:val="center"/>
      <w:outlineLvl w:val="0"/>
    </w:pPr>
    <w:rPr>
      <w:rFonts w:cs="Arial"/>
      <w:b/>
      <w:bCs/>
      <w:smallCaps/>
      <w:kern w:val="28"/>
      <w:szCs w:val="32"/>
    </w:rPr>
  </w:style>
  <w:style w:type="paragraph" w:styleId="20">
    <w:name w:val="heading 2"/>
    <w:basedOn w:val="a1"/>
    <w:next w:val="a1"/>
    <w:uiPriority w:val="4"/>
    <w:qFormat/>
    <w:rsid w:val="00327493"/>
    <w:pPr>
      <w:keepNext/>
      <w:numPr>
        <w:ilvl w:val="1"/>
        <w:numId w:val="14"/>
      </w:numPr>
      <w:spacing w:after="240"/>
      <w:jc w:val="center"/>
      <w:outlineLvl w:val="1"/>
    </w:pPr>
    <w:rPr>
      <w:rFonts w:cs="Arial"/>
      <w:b/>
      <w:bCs/>
      <w:iCs/>
      <w:szCs w:val="28"/>
    </w:rPr>
  </w:style>
  <w:style w:type="paragraph" w:styleId="30">
    <w:name w:val="heading 3"/>
    <w:basedOn w:val="a1"/>
    <w:next w:val="a1"/>
    <w:uiPriority w:val="5"/>
    <w:qFormat/>
    <w:rsid w:val="00327493"/>
    <w:pPr>
      <w:keepNext/>
      <w:spacing w:after="240"/>
      <w:outlineLvl w:val="2"/>
    </w:pPr>
    <w:rPr>
      <w:rFonts w:cs="Arial"/>
      <w:b/>
      <w:bCs/>
      <w:szCs w:val="26"/>
    </w:rPr>
  </w:style>
  <w:style w:type="paragraph" w:styleId="40">
    <w:name w:val="heading 4"/>
    <w:basedOn w:val="a1"/>
    <w:next w:val="a1"/>
    <w:uiPriority w:val="6"/>
    <w:qFormat/>
    <w:rsid w:val="00327493"/>
    <w:pPr>
      <w:keepNext/>
      <w:spacing w:after="240"/>
      <w:outlineLvl w:val="3"/>
    </w:pPr>
    <w:rPr>
      <w:b/>
      <w:bCs/>
      <w:i/>
      <w:szCs w:val="28"/>
    </w:rPr>
  </w:style>
  <w:style w:type="paragraph" w:styleId="50">
    <w:name w:val="heading 5"/>
    <w:basedOn w:val="a1"/>
    <w:next w:val="a1"/>
    <w:uiPriority w:val="7"/>
    <w:qFormat/>
    <w:rsid w:val="00327493"/>
    <w:pPr>
      <w:keepNext/>
      <w:spacing w:after="240"/>
      <w:outlineLvl w:val="4"/>
    </w:pPr>
    <w:rPr>
      <w:bCs/>
      <w:i/>
      <w:iCs/>
      <w:szCs w:val="26"/>
    </w:rPr>
  </w:style>
  <w:style w:type="paragraph" w:styleId="6">
    <w:name w:val="heading 6"/>
    <w:basedOn w:val="a1"/>
    <w:next w:val="a1"/>
    <w:uiPriority w:val="8"/>
    <w:rsid w:val="00327493"/>
    <w:pPr>
      <w:outlineLvl w:val="5"/>
    </w:pPr>
    <w:rPr>
      <w:bCs/>
      <w:szCs w:val="22"/>
    </w:rPr>
  </w:style>
  <w:style w:type="paragraph" w:styleId="7">
    <w:name w:val="heading 7"/>
    <w:basedOn w:val="a1"/>
    <w:next w:val="a1"/>
    <w:uiPriority w:val="8"/>
    <w:rsid w:val="00327493"/>
    <w:pPr>
      <w:outlineLvl w:val="6"/>
    </w:pPr>
  </w:style>
  <w:style w:type="paragraph" w:styleId="8">
    <w:name w:val="heading 8"/>
    <w:basedOn w:val="a1"/>
    <w:next w:val="a1"/>
    <w:uiPriority w:val="8"/>
    <w:rsid w:val="00327493"/>
    <w:pPr>
      <w:outlineLvl w:val="7"/>
    </w:pPr>
    <w:rPr>
      <w:iCs/>
    </w:rPr>
  </w:style>
  <w:style w:type="paragraph" w:styleId="9">
    <w:name w:val="heading 9"/>
    <w:basedOn w:val="a1"/>
    <w:next w:val="a1"/>
    <w:uiPriority w:val="8"/>
    <w:rsid w:val="00327493"/>
    <w:pPr>
      <w:outlineLvl w:val="8"/>
    </w:pPr>
    <w:rPr>
      <w:rFonts w:cs="Arial"/>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rsid w:val="00327493"/>
    <w:pPr>
      <w:tabs>
        <w:tab w:val="center" w:pos="4320"/>
        <w:tab w:val="right" w:pos="8640"/>
      </w:tabs>
    </w:pPr>
  </w:style>
  <w:style w:type="paragraph" w:styleId="a7">
    <w:name w:val="footnote text"/>
    <w:basedOn w:val="a1"/>
    <w:link w:val="a8"/>
    <w:uiPriority w:val="99"/>
    <w:rsid w:val="00327493"/>
    <w:pPr>
      <w:spacing w:after="200"/>
    </w:pPr>
    <w:rPr>
      <w:sz w:val="20"/>
    </w:rPr>
  </w:style>
  <w:style w:type="paragraph" w:customStyle="1" w:styleId="ParagraphNumbering">
    <w:name w:val="Paragraph Numbering"/>
    <w:basedOn w:val="a1"/>
    <w:qFormat/>
    <w:rsid w:val="00952688"/>
    <w:pPr>
      <w:numPr>
        <w:numId w:val="21"/>
      </w:numPr>
      <w:spacing w:after="240"/>
    </w:pPr>
  </w:style>
  <w:style w:type="paragraph" w:styleId="a9">
    <w:name w:val="footer"/>
    <w:basedOn w:val="a1"/>
    <w:uiPriority w:val="8"/>
    <w:rsid w:val="00327493"/>
    <w:pPr>
      <w:tabs>
        <w:tab w:val="center" w:pos="4320"/>
        <w:tab w:val="right" w:pos="8640"/>
      </w:tabs>
    </w:pPr>
  </w:style>
  <w:style w:type="character" w:styleId="aa">
    <w:name w:val="footnote reference"/>
    <w:basedOn w:val="a2"/>
    <w:uiPriority w:val="99"/>
    <w:rsid w:val="00327493"/>
    <w:rPr>
      <w:sz w:val="20"/>
      <w:vertAlign w:val="superscript"/>
    </w:rPr>
  </w:style>
  <w:style w:type="paragraph" w:customStyle="1" w:styleId="Appendix">
    <w:name w:val="Appendix"/>
    <w:basedOn w:val="a1"/>
    <w:uiPriority w:val="8"/>
    <w:qFormat/>
    <w:rsid w:val="00327493"/>
    <w:pPr>
      <w:jc w:val="center"/>
    </w:pPr>
    <w:rPr>
      <w:b/>
    </w:rPr>
  </w:style>
  <w:style w:type="paragraph" w:styleId="a0">
    <w:name w:val="List Bullet"/>
    <w:basedOn w:val="a1"/>
    <w:uiPriority w:val="2"/>
    <w:qFormat/>
    <w:rsid w:val="00327493"/>
    <w:pPr>
      <w:numPr>
        <w:numId w:val="15"/>
      </w:numPr>
      <w:spacing w:after="240"/>
    </w:pPr>
  </w:style>
  <w:style w:type="paragraph" w:styleId="10">
    <w:name w:val="toc 1"/>
    <w:basedOn w:val="a1"/>
    <w:next w:val="a1"/>
    <w:uiPriority w:val="8"/>
    <w:rsid w:val="00327493"/>
  </w:style>
  <w:style w:type="paragraph" w:styleId="21">
    <w:name w:val="toc 2"/>
    <w:basedOn w:val="a1"/>
    <w:next w:val="a1"/>
    <w:uiPriority w:val="8"/>
    <w:rsid w:val="00327493"/>
    <w:pPr>
      <w:ind w:left="240"/>
    </w:pPr>
  </w:style>
  <w:style w:type="paragraph" w:styleId="31">
    <w:name w:val="toc 3"/>
    <w:basedOn w:val="a1"/>
    <w:next w:val="a1"/>
    <w:uiPriority w:val="8"/>
    <w:rsid w:val="00327493"/>
    <w:pPr>
      <w:ind w:left="480"/>
    </w:pPr>
  </w:style>
  <w:style w:type="paragraph" w:styleId="41">
    <w:name w:val="toc 4"/>
    <w:basedOn w:val="a1"/>
    <w:next w:val="a1"/>
    <w:uiPriority w:val="8"/>
    <w:rsid w:val="00327493"/>
    <w:pPr>
      <w:ind w:left="720"/>
    </w:pPr>
  </w:style>
  <w:style w:type="paragraph" w:styleId="51">
    <w:name w:val="toc 5"/>
    <w:basedOn w:val="a1"/>
    <w:next w:val="a1"/>
    <w:uiPriority w:val="8"/>
    <w:rsid w:val="00327493"/>
    <w:pPr>
      <w:ind w:left="960"/>
    </w:pPr>
  </w:style>
  <w:style w:type="paragraph" w:styleId="60">
    <w:name w:val="toc 6"/>
    <w:basedOn w:val="a1"/>
    <w:next w:val="a1"/>
    <w:uiPriority w:val="8"/>
    <w:rsid w:val="00327493"/>
    <w:pPr>
      <w:ind w:left="1200"/>
    </w:pPr>
  </w:style>
  <w:style w:type="paragraph" w:styleId="70">
    <w:name w:val="toc 7"/>
    <w:basedOn w:val="a1"/>
    <w:next w:val="a1"/>
    <w:uiPriority w:val="8"/>
    <w:rsid w:val="00327493"/>
    <w:pPr>
      <w:ind w:left="1440"/>
    </w:pPr>
  </w:style>
  <w:style w:type="paragraph" w:styleId="80">
    <w:name w:val="toc 8"/>
    <w:basedOn w:val="a1"/>
    <w:next w:val="a1"/>
    <w:uiPriority w:val="8"/>
    <w:rsid w:val="00327493"/>
    <w:pPr>
      <w:ind w:left="1680"/>
    </w:pPr>
  </w:style>
  <w:style w:type="paragraph" w:styleId="90">
    <w:name w:val="toc 9"/>
    <w:basedOn w:val="a1"/>
    <w:next w:val="a1"/>
    <w:uiPriority w:val="8"/>
    <w:rsid w:val="00327493"/>
    <w:pPr>
      <w:ind w:left="1920"/>
    </w:pPr>
  </w:style>
  <w:style w:type="paragraph" w:styleId="11">
    <w:name w:val="index 1"/>
    <w:basedOn w:val="a1"/>
    <w:next w:val="a1"/>
    <w:uiPriority w:val="8"/>
    <w:rsid w:val="00327493"/>
    <w:pPr>
      <w:ind w:left="240" w:hanging="240"/>
    </w:pPr>
  </w:style>
  <w:style w:type="paragraph" w:styleId="22">
    <w:name w:val="index 2"/>
    <w:basedOn w:val="a1"/>
    <w:next w:val="a1"/>
    <w:uiPriority w:val="8"/>
    <w:rsid w:val="00327493"/>
    <w:pPr>
      <w:ind w:left="480" w:hanging="240"/>
    </w:pPr>
  </w:style>
  <w:style w:type="paragraph" w:styleId="32">
    <w:name w:val="index 3"/>
    <w:basedOn w:val="a1"/>
    <w:next w:val="a1"/>
    <w:uiPriority w:val="8"/>
    <w:rsid w:val="00327493"/>
    <w:pPr>
      <w:ind w:left="720" w:hanging="240"/>
    </w:pPr>
  </w:style>
  <w:style w:type="paragraph" w:styleId="42">
    <w:name w:val="index 4"/>
    <w:basedOn w:val="a1"/>
    <w:next w:val="a1"/>
    <w:uiPriority w:val="8"/>
    <w:rsid w:val="00327493"/>
    <w:pPr>
      <w:ind w:left="960" w:hanging="240"/>
    </w:pPr>
  </w:style>
  <w:style w:type="paragraph" w:styleId="52">
    <w:name w:val="index 5"/>
    <w:basedOn w:val="a1"/>
    <w:next w:val="a1"/>
    <w:uiPriority w:val="8"/>
    <w:rsid w:val="00327493"/>
    <w:pPr>
      <w:ind w:left="1200" w:hanging="240"/>
    </w:pPr>
  </w:style>
  <w:style w:type="paragraph" w:styleId="61">
    <w:name w:val="index 6"/>
    <w:basedOn w:val="a1"/>
    <w:next w:val="a1"/>
    <w:uiPriority w:val="8"/>
    <w:rsid w:val="00327493"/>
    <w:pPr>
      <w:ind w:left="1440" w:hanging="240"/>
    </w:pPr>
  </w:style>
  <w:style w:type="paragraph" w:styleId="71">
    <w:name w:val="index 7"/>
    <w:basedOn w:val="a1"/>
    <w:next w:val="a1"/>
    <w:uiPriority w:val="8"/>
    <w:rsid w:val="00327493"/>
    <w:pPr>
      <w:ind w:left="1680" w:hanging="240"/>
    </w:pPr>
  </w:style>
  <w:style w:type="paragraph" w:styleId="81">
    <w:name w:val="index 8"/>
    <w:basedOn w:val="a1"/>
    <w:next w:val="a1"/>
    <w:uiPriority w:val="8"/>
    <w:rsid w:val="00327493"/>
    <w:pPr>
      <w:ind w:left="1920" w:hanging="240"/>
    </w:pPr>
  </w:style>
  <w:style w:type="paragraph" w:styleId="91">
    <w:name w:val="index 9"/>
    <w:basedOn w:val="a1"/>
    <w:next w:val="a1"/>
    <w:uiPriority w:val="8"/>
    <w:rsid w:val="00327493"/>
    <w:pPr>
      <w:ind w:left="2160" w:hanging="240"/>
    </w:pPr>
  </w:style>
  <w:style w:type="paragraph" w:styleId="2">
    <w:name w:val="List Bullet 2"/>
    <w:basedOn w:val="a1"/>
    <w:uiPriority w:val="8"/>
    <w:rsid w:val="00327493"/>
    <w:pPr>
      <w:numPr>
        <w:numId w:val="16"/>
      </w:numPr>
    </w:pPr>
  </w:style>
  <w:style w:type="paragraph" w:styleId="3">
    <w:name w:val="List Bullet 3"/>
    <w:basedOn w:val="a1"/>
    <w:uiPriority w:val="8"/>
    <w:rsid w:val="00327493"/>
    <w:pPr>
      <w:numPr>
        <w:numId w:val="17"/>
      </w:numPr>
    </w:pPr>
  </w:style>
  <w:style w:type="paragraph" w:styleId="4">
    <w:name w:val="List Bullet 4"/>
    <w:basedOn w:val="a1"/>
    <w:uiPriority w:val="8"/>
    <w:rsid w:val="00327493"/>
    <w:pPr>
      <w:numPr>
        <w:numId w:val="18"/>
      </w:numPr>
    </w:pPr>
  </w:style>
  <w:style w:type="paragraph" w:styleId="5">
    <w:name w:val="List Bullet 5"/>
    <w:basedOn w:val="a1"/>
    <w:uiPriority w:val="8"/>
    <w:rsid w:val="00327493"/>
    <w:pPr>
      <w:numPr>
        <w:numId w:val="19"/>
      </w:numPr>
    </w:pPr>
  </w:style>
  <w:style w:type="paragraph" w:styleId="ab">
    <w:name w:val="Title"/>
    <w:basedOn w:val="a1"/>
    <w:uiPriority w:val="8"/>
    <w:rsid w:val="00327493"/>
    <w:pPr>
      <w:spacing w:before="240" w:after="60"/>
      <w:jc w:val="center"/>
      <w:outlineLvl w:val="0"/>
    </w:pPr>
    <w:rPr>
      <w:rFonts w:ascii="Arial" w:hAnsi="Arial" w:cs="Arial"/>
      <w:b/>
      <w:bCs/>
      <w:kern w:val="28"/>
      <w:sz w:val="32"/>
      <w:szCs w:val="32"/>
    </w:rPr>
  </w:style>
  <w:style w:type="paragraph" w:customStyle="1" w:styleId="Indent">
    <w:name w:val="Indent"/>
    <w:basedOn w:val="a1"/>
    <w:uiPriority w:val="8"/>
    <w:qFormat/>
    <w:rsid w:val="00327493"/>
    <w:pPr>
      <w:ind w:left="720" w:hanging="720"/>
    </w:pPr>
  </w:style>
  <w:style w:type="paragraph" w:customStyle="1" w:styleId="UnNumberedHeading1">
    <w:name w:val="UnNumbered Heading 1"/>
    <w:basedOn w:val="a1"/>
    <w:next w:val="a1"/>
    <w:uiPriority w:val="8"/>
    <w:rsid w:val="00327493"/>
    <w:pPr>
      <w:jc w:val="center"/>
    </w:pPr>
    <w:rPr>
      <w:b/>
      <w:smallCaps/>
    </w:rPr>
  </w:style>
  <w:style w:type="character" w:customStyle="1" w:styleId="a6">
    <w:name w:val="Верхний колонтитул Знак"/>
    <w:basedOn w:val="a2"/>
    <w:link w:val="a5"/>
    <w:uiPriority w:val="99"/>
    <w:rsid w:val="00492BC3"/>
    <w:rPr>
      <w:sz w:val="24"/>
      <w:szCs w:val="24"/>
    </w:rPr>
  </w:style>
  <w:style w:type="paragraph" w:styleId="ac">
    <w:name w:val="List Paragraph"/>
    <w:basedOn w:val="a1"/>
    <w:uiPriority w:val="34"/>
    <w:qFormat/>
    <w:rsid w:val="005E43E2"/>
    <w:pPr>
      <w:ind w:left="720"/>
      <w:contextualSpacing/>
    </w:pPr>
  </w:style>
  <w:style w:type="paragraph" w:styleId="ad">
    <w:name w:val="Body Text"/>
    <w:basedOn w:val="a1"/>
    <w:link w:val="ae"/>
    <w:uiPriority w:val="8"/>
    <w:rsid w:val="00A9049F"/>
    <w:pPr>
      <w:spacing w:after="120"/>
    </w:pPr>
  </w:style>
  <w:style w:type="character" w:customStyle="1" w:styleId="ae">
    <w:name w:val="Основной текст Знак"/>
    <w:basedOn w:val="a2"/>
    <w:link w:val="ad"/>
    <w:uiPriority w:val="8"/>
    <w:rsid w:val="00A9049F"/>
    <w:rPr>
      <w:sz w:val="24"/>
      <w:szCs w:val="24"/>
    </w:rPr>
  </w:style>
  <w:style w:type="paragraph" w:styleId="a">
    <w:name w:val="List Number"/>
    <w:basedOn w:val="a1"/>
    <w:uiPriority w:val="8"/>
    <w:rsid w:val="00C410E7"/>
    <w:pPr>
      <w:numPr>
        <w:numId w:val="8"/>
      </w:numPr>
      <w:contextualSpacing/>
    </w:pPr>
  </w:style>
  <w:style w:type="character" w:customStyle="1" w:styleId="a8">
    <w:name w:val="Текст сноски Знак"/>
    <w:basedOn w:val="a2"/>
    <w:link w:val="a7"/>
    <w:uiPriority w:val="99"/>
    <w:rsid w:val="00D83FF6"/>
  </w:style>
  <w:style w:type="character" w:styleId="af">
    <w:name w:val="Emphasis"/>
    <w:basedOn w:val="a2"/>
    <w:uiPriority w:val="20"/>
    <w:qFormat/>
    <w:rsid w:val="00D83FF6"/>
    <w:rPr>
      <w:i/>
      <w:iCs/>
    </w:rPr>
  </w:style>
  <w:style w:type="character" w:styleId="af0">
    <w:name w:val="annotation reference"/>
    <w:basedOn w:val="a2"/>
    <w:uiPriority w:val="8"/>
    <w:rsid w:val="00A14DBD"/>
    <w:rPr>
      <w:sz w:val="16"/>
      <w:szCs w:val="16"/>
    </w:rPr>
  </w:style>
  <w:style w:type="paragraph" w:styleId="af1">
    <w:name w:val="annotation text"/>
    <w:basedOn w:val="a1"/>
    <w:link w:val="af2"/>
    <w:uiPriority w:val="8"/>
    <w:rsid w:val="00A14DBD"/>
    <w:rPr>
      <w:sz w:val="20"/>
    </w:rPr>
  </w:style>
  <w:style w:type="character" w:customStyle="1" w:styleId="af2">
    <w:name w:val="Текст примечания Знак"/>
    <w:basedOn w:val="a2"/>
    <w:link w:val="af1"/>
    <w:uiPriority w:val="8"/>
    <w:rsid w:val="00A14DBD"/>
    <w:rPr>
      <w:rFonts w:eastAsia="Times New Roman"/>
    </w:rPr>
  </w:style>
  <w:style w:type="paragraph" w:styleId="af3">
    <w:name w:val="annotation subject"/>
    <w:basedOn w:val="af1"/>
    <w:next w:val="af1"/>
    <w:link w:val="af4"/>
    <w:uiPriority w:val="8"/>
    <w:rsid w:val="00A14DBD"/>
    <w:rPr>
      <w:b/>
      <w:bCs/>
    </w:rPr>
  </w:style>
  <w:style w:type="character" w:customStyle="1" w:styleId="af4">
    <w:name w:val="Тема примечания Знак"/>
    <w:basedOn w:val="af2"/>
    <w:link w:val="af3"/>
    <w:uiPriority w:val="8"/>
    <w:rsid w:val="00A14DBD"/>
    <w:rPr>
      <w:rFonts w:eastAsia="Times New Roman"/>
      <w:b/>
      <w:bCs/>
    </w:rPr>
  </w:style>
  <w:style w:type="paragraph" w:styleId="af5">
    <w:name w:val="Balloon Text"/>
    <w:basedOn w:val="a1"/>
    <w:link w:val="af6"/>
    <w:uiPriority w:val="8"/>
    <w:rsid w:val="00A14DBD"/>
    <w:rPr>
      <w:rFonts w:ascii="Tahoma" w:hAnsi="Tahoma" w:cs="Tahoma"/>
      <w:sz w:val="16"/>
      <w:szCs w:val="16"/>
    </w:rPr>
  </w:style>
  <w:style w:type="character" w:customStyle="1" w:styleId="af6">
    <w:name w:val="Текст выноски Знак"/>
    <w:basedOn w:val="a2"/>
    <w:link w:val="af5"/>
    <w:uiPriority w:val="8"/>
    <w:rsid w:val="00A14DB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715716">
      <w:bodyDiv w:val="1"/>
      <w:marLeft w:val="0"/>
      <w:marRight w:val="0"/>
      <w:marTop w:val="0"/>
      <w:marBottom w:val="0"/>
      <w:divBdr>
        <w:top w:val="none" w:sz="0" w:space="0" w:color="auto"/>
        <w:left w:val="none" w:sz="0" w:space="0" w:color="auto"/>
        <w:bottom w:val="none" w:sz="0" w:space="0" w:color="auto"/>
        <w:right w:val="none" w:sz="0" w:space="0" w:color="auto"/>
      </w:divBdr>
    </w:div>
    <w:div w:id="632950744">
      <w:bodyDiv w:val="1"/>
      <w:marLeft w:val="0"/>
      <w:marRight w:val="0"/>
      <w:marTop w:val="0"/>
      <w:marBottom w:val="0"/>
      <w:divBdr>
        <w:top w:val="none" w:sz="0" w:space="0" w:color="auto"/>
        <w:left w:val="none" w:sz="0" w:space="0" w:color="auto"/>
        <w:bottom w:val="none" w:sz="0" w:space="0" w:color="auto"/>
        <w:right w:val="none" w:sz="0" w:space="0" w:color="auto"/>
      </w:divBdr>
    </w:div>
    <w:div w:id="732463096">
      <w:bodyDiv w:val="1"/>
      <w:marLeft w:val="0"/>
      <w:marRight w:val="0"/>
      <w:marTop w:val="0"/>
      <w:marBottom w:val="0"/>
      <w:divBdr>
        <w:top w:val="none" w:sz="0" w:space="0" w:color="auto"/>
        <w:left w:val="none" w:sz="0" w:space="0" w:color="auto"/>
        <w:bottom w:val="none" w:sz="0" w:space="0" w:color="auto"/>
        <w:right w:val="none" w:sz="0" w:space="0" w:color="auto"/>
      </w:divBdr>
    </w:div>
    <w:div w:id="908614836">
      <w:bodyDiv w:val="1"/>
      <w:marLeft w:val="0"/>
      <w:marRight w:val="0"/>
      <w:marTop w:val="0"/>
      <w:marBottom w:val="0"/>
      <w:divBdr>
        <w:top w:val="none" w:sz="0" w:space="0" w:color="auto"/>
        <w:left w:val="none" w:sz="0" w:space="0" w:color="auto"/>
        <w:bottom w:val="none" w:sz="0" w:space="0" w:color="auto"/>
        <w:right w:val="none" w:sz="0" w:space="0" w:color="auto"/>
      </w:divBdr>
    </w:div>
    <w:div w:id="974141222">
      <w:bodyDiv w:val="1"/>
      <w:marLeft w:val="0"/>
      <w:marRight w:val="0"/>
      <w:marTop w:val="0"/>
      <w:marBottom w:val="0"/>
      <w:divBdr>
        <w:top w:val="none" w:sz="0" w:space="0" w:color="auto"/>
        <w:left w:val="none" w:sz="0" w:space="0" w:color="auto"/>
        <w:bottom w:val="none" w:sz="0" w:space="0" w:color="auto"/>
        <w:right w:val="none" w:sz="0" w:space="0" w:color="auto"/>
      </w:divBdr>
    </w:div>
    <w:div w:id="173804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9067CECD75F6488A011E7E877B7216" ma:contentTypeVersion="1" ma:contentTypeDescription="Create a new document." ma:contentTypeScope="" ma:versionID="085814069315b0c3f5edc5f8f65a052c">
  <xsd:schema xmlns:xsd="http://www.w3.org/2001/XMLSchema" xmlns:p="http://schemas.microsoft.com/office/2006/metadata/properties" xmlns:ns2="34f70b63-4224-473b-ac88-56a1c963a1de" targetNamespace="http://schemas.microsoft.com/office/2006/metadata/properties" ma:root="true" ma:fieldsID="8552011bbdbb6b9c782f1c1e7d1bee65" ns2:_="">
    <xsd:import namespace="34f70b63-4224-473b-ac88-56a1c963a1de"/>
    <xsd:element name="properties">
      <xsd:complexType>
        <xsd:sequence>
          <xsd:element name="documentManagement">
            <xsd:complexType>
              <xsd:all>
                <xsd:element ref="ns2:Frequently_x0020_Used" minOccurs="0"/>
              </xsd:all>
            </xsd:complexType>
          </xsd:element>
        </xsd:sequence>
      </xsd:complexType>
    </xsd:element>
  </xsd:schema>
  <xsd:schema xmlns:xsd="http://www.w3.org/2001/XMLSchema" xmlns:dms="http://schemas.microsoft.com/office/2006/documentManagement/types" targetNamespace="34f70b63-4224-473b-ac88-56a1c963a1de" elementFormDefault="qualified">
    <xsd:import namespace="http://schemas.microsoft.com/office/2006/documentManagement/types"/>
    <xsd:element name="Frequently_x0020_Used" ma:index="8" nillable="true" ma:displayName="Frequently Used" ma:description="Templates Used most often." ma:internalName="Frequently_x0020_Us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Frequently_x0020_Used xmlns="34f70b63-4224-473b-ac88-56a1c963a1d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1C8D1-2F4F-4C13-A8EA-D9469E8B8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70b63-4224-473b-ac88-56a1c963a1d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4486E50-4BFE-4B05-B44F-CAC882C86AAA}">
  <ds:schemaRefs>
    <ds:schemaRef ds:uri="http://schemas.microsoft.com/sharepoint/v3/contenttype/forms"/>
  </ds:schemaRefs>
</ds:datastoreItem>
</file>

<file path=customXml/itemProps3.xml><?xml version="1.0" encoding="utf-8"?>
<ds:datastoreItem xmlns:ds="http://schemas.openxmlformats.org/officeDocument/2006/customXml" ds:itemID="{AED4B78A-6F47-48B5-8411-3EFE2022F02B}">
  <ds:schemaRefs>
    <ds:schemaRef ds:uri="http://schemas.microsoft.com/office/2006/metadata/properties"/>
    <ds:schemaRef ds:uri="34f70b63-4224-473b-ac88-56a1c963a1de"/>
  </ds:schemaRefs>
</ds:datastoreItem>
</file>

<file path=customXml/itemProps4.xml><?xml version="1.0" encoding="utf-8"?>
<ds:datastoreItem xmlns:ds="http://schemas.openxmlformats.org/officeDocument/2006/customXml" ds:itemID="{84D6D27E-1B40-41C1-A94A-0A6D5A80C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1857</Words>
  <Characters>10587</Characters>
  <Application>Microsoft Office Word</Application>
  <DocSecurity>0</DocSecurity>
  <Lines>88</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Normal</vt:lpstr>
      <vt:lpstr>Normal</vt:lpstr>
    </vt:vector>
  </TitlesOfParts>
  <Company>International Monetary Fund</Company>
  <LinksUpToDate>false</LinksUpToDate>
  <CharactersWithSpaces>12420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Mark A. Horton</dc:creator>
  <cp:keywords>IMF</cp:keywords>
  <cp:lastModifiedBy>Айнур Абдуллаева</cp:lastModifiedBy>
  <cp:revision>2</cp:revision>
  <cp:lastPrinted>2016-06-02T17:30:00Z</cp:lastPrinted>
  <dcterms:created xsi:type="dcterms:W3CDTF">2020-11-19T03:27:00Z</dcterms:created>
  <dcterms:modified xsi:type="dcterms:W3CDTF">2020-11-19T03:27:00Z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