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Баланы тегін үйірмеге немесе секцияға қалай жазуға болады?</w:t>
        <w:br/>
        <w:br/>
      </w:r>
    </w:p>
    <w:p>
      <w:pPr>
        <w:jc w:val="left"/>
      </w:pPr>
      <w:r>
        <w:rPr>
          <w:b w:val="on"/>
          <w:i w:val="off"/>
          <w:sz w:val="28"/>
        </w:rPr>
        <w:t>Кіріспе</w:t>
        <w:br/>
      </w:r>
    </w:p>
    <w:p>
      <w:pPr>
        <w:jc w:val="left"/>
      </w:pPr>
      <w:r>
        <w:rPr>
          <w:b w:val="off"/>
          <w:i w:val="off"/>
          <w:sz w:val="24"/>
        </w:rPr>
        <w:t>Қазақстанда балалар бөлінген қаржыландыру және қолжетімді орындар шегінде мемлекеттік тапсырыс есебінен спорт секцияларына, шығармашылық үйірмелерге және басқа да қосымша білім беру ұйымдарына қатыса алады. Үйірмелер мен секцияларға жазылу тәртібі сабақтардың бағытына, тұрғылықты өңірге және мемлекеттік тапсырысты орналастырудың қолданыстағы тетігіне байланысты болады. 2025–2026 жылдары жекелеген өңірлерде жан басына шаққандағы қаржыландыруды ескере отырып, балаларға қосымша білім беруге бірыңғай мемлекеттік тапсырысты орналастыру жөніндегі пилоттық жоба іске асырылуда. Пилоттық жоба шеңберінде қосымша білім беру қызметтерін тегін алу үшін ваучерлік тетік қолданылады. Қатысушы өңірлердің тізбесі, пилоттық жобаны іске асыру мерзімдері және пайдаланылатын ақпараттық жүйелер қолданыстағы нормативтік құқықтық актілермен және уәкілетті органдардың шешімдерімен айқындалады. Өтініш бермес бұрын жергілікті білім басқармасының, дене шынықтыру және спорт басқармасының немесе мәдениет басқармасының ресми интернет-ресурсындағы өзекті ақпаратты тексеру ұсынылады.</w:t>
        <w:br/>
      </w:r>
    </w:p>
    <w:p>
      <w:pPr>
        <w:pBdr>
          <w:bottom w:val="thick"/>
        </w:pBdr>
      </w:pPr>
    </w:p>
    <w:p>
      <w:r>
        <w:br/>
      </w:r>
    </w:p>
    <w:p>
      <w:pPr>
        <w:jc w:val="left"/>
      </w:pPr>
      <w:r>
        <w:rPr>
          <w:b w:val="on"/>
          <w:i w:val="off"/>
          <w:sz w:val="28"/>
        </w:rPr>
        <w:t>1. Баланы тегін үйірмеге немесе бөлімге қалай жазуға болады</w:t>
        <w:br/>
      </w:r>
    </w:p>
    <w:p>
      <w:pPr>
        <w:jc w:val="left"/>
      </w:pPr>
      <w:r>
        <w:rPr>
          <w:b w:val="on"/>
          <w:i w:val="on"/>
          <w:sz w:val="24"/>
        </w:rPr>
        <w:t>Нұсқаулық</w:t>
        <w:br/>
      </w:r>
    </w:p>
    <w:p>
      <w:pPr>
        <w:jc w:val="left"/>
      </w:pPr>
      <w:r>
        <w:rPr>
          <w:b w:val="off"/>
          <w:i w:val="off"/>
          <w:sz w:val="24"/>
        </w:rPr>
        <w:t>Баланы тегін үйірмеге немесе спорт секциясына жазу үшін ата-анасы немесе өзге де заңды өкілі тиісті өңірде пайдаланылатын ақпараттық жүйе арқылы өтініш береді. Іс-қимыл тәртібі Өзіңіздің елді мекеніңізде қандай үйірмелер мен секциялар мемлекеттік тапсырыс есебінен қаржыландырылатынын нақтылаңыз. Жергілікті уәкілетті орган көрсеткен ақпараттық жүйеге өтіңіз. Көзделген тәсілмен авторизациядан өтіңіз. Бала және оның заңды өкілі туралы мәліметтерді толтырыңыз. Қосымша білім берудің қолжетімді бағытын таңдаңыз. Электрондық өтініш беріңіз. Жеке кабинетте өтініштің мәртебесін және хабарламаларды қадағалаңыз. Ваучер алу Пилоттық жобаға қатысатын өңірлерде ваучерлерді бөлу белгіленген кезектілікті, қолжетімді мемлекеттік тапсырысты және пилоттық жобаның шарттарын ескере отырып жүзеге асырылады. Ваучер берілген жағдайда заңды өкілге хабарлама жіберіледі. Хабарламаны алғаннан кейін қолданылатын тәртіпте көзделген мерзімдерде қызмет көрсетушіні таңдау және баланы оқуға қабылдауды ресімдеу бойынша қажетті әрекеттерді орындау қажет. Маңызды: өтініш беру тегін орынның бірден берілуіне кепілдік бермейді. Ваучердің берілуі қолданыстағы қағидаларға және қолжетімді қаржыландыруға байланысты.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2">
        <w:r>
          <w:t>Балалар мен жасөспірімдерге арналған спорт секцияларында мемлекеттік спорттық тапсырысты орналастыру және олардың жұмыс істеу қағидаларын бекіту туралы</w:t>
          <w:br/>
        </w:r>
      </w:hyperlink>
    </w:p>
    <w:p>
      <w:pPr>
        <w:jc w:val="left"/>
      </w:pPr>
      <w:r>
        <w:rPr>
          <w:sz w:val="24"/>
        </w:rPr>
        <w:t xml:space="preserve"> </w:t>
      </w:r>
      <w:hyperlink r:id="rId3">
        <w:r>
          <w:t>Балалар мен жасөспірімдерге арналған шығармашылық үйірмелерде мемлекеттік шығармашылық тапсырысты орналастыру және олардың жұмыс істеу қағидаларын бекіту туралы</w:t>
          <w:br/>
        </w:r>
      </w:hyperlink>
    </w:p>
    <w:p>
      <w:pPr>
        <w:pBdr>
          <w:bottom w:val="thick"/>
        </w:pBdr>
      </w:pPr>
    </w:p>
    <w:p>
      <w:r>
        <w:br/>
      </w:r>
    </w:p>
    <w:p>
      <w:pPr>
        <w:jc w:val="left"/>
      </w:pPr>
      <w:r>
        <w:rPr>
          <w:b w:val="on"/>
          <w:i w:val="off"/>
          <w:sz w:val="28"/>
        </w:rPr>
        <w:t>2. Медициналық құжаттар</w:t>
        <w:br/>
      </w:r>
    </w:p>
    <w:p>
      <w:pPr>
        <w:jc w:val="left"/>
      </w:pPr>
      <w:r>
        <w:rPr>
          <w:b w:val="on"/>
          <w:i w:val="on"/>
          <w:sz w:val="24"/>
        </w:rPr>
        <w:t>Нұсқаулық</w:t>
        <w:br/>
      </w:r>
    </w:p>
    <w:p>
      <w:pPr>
        <w:jc w:val="left"/>
      </w:pPr>
      <w:r>
        <w:rPr>
          <w:b w:val="off"/>
          <w:i w:val="off"/>
          <w:sz w:val="24"/>
        </w:rPr>
        <w:t>Баланы жекелеген спорт секцияларына қабылдау үшін таңдалған спорт түрімен айналысуға болатынын растайтын медициналық құжат талап етілуі мүмкін. Қажетті құжаттардың тізбесі қосымша білім берудің тиісті бағыты бойынша қолданыстағы қағидалармен айқындалады. Егер медициналық құжатты алу үшін емханаға жүгіну қажет болса, ата-ана медициналық ұйымның қолжетімді сервистері арқылы баланы дәрігердің қабылдауына жаза алады. Қызмет көрсетушімен шарт жасасқанға дейін медициналық қорытындының қажет екенін нақтылаңыз.</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4">
        <w:r>
          <w:t>ҚР емханаларының байланыс мәліметтері</w:t>
          <w:br/>
        </w:r>
      </w:hyperlink>
    </w:p>
    <w:p>
      <w:pPr>
        <w:pBdr>
          <w:bottom w:val="thick"/>
        </w:pBdr>
      </w:pPr>
    </w:p>
    <w:p>
      <w:r>
        <w:br/>
      </w:r>
    </w:p>
    <w:p>
      <w:pPr>
        <w:jc w:val="left"/>
      </w:pPr>
      <w:r>
        <w:rPr>
          <w:b w:val="on"/>
          <w:i w:val="off"/>
          <w:sz w:val="28"/>
        </w:rPr>
        <w:t>3. Ұйымдар мемлекеттік тапсырысқа қалай қатыса алады</w:t>
        <w:br/>
      </w:r>
    </w:p>
    <w:p>
      <w:pPr>
        <w:jc w:val="left"/>
      </w:pPr>
      <w:r>
        <w:rPr>
          <w:b w:val="on"/>
          <w:i w:val="on"/>
          <w:sz w:val="24"/>
        </w:rPr>
        <w:t>Нұсқаулық</w:t>
        <w:br/>
      </w:r>
    </w:p>
    <w:p>
      <w:pPr>
        <w:jc w:val="left"/>
      </w:pPr>
      <w:r>
        <w:rPr>
          <w:b w:val="off"/>
          <w:i w:val="off"/>
          <w:sz w:val="24"/>
        </w:rPr>
        <w:t>Балаларға қосымша білім беру қызметтерін көрсететін ұйымдар мен жеке кәсіпкерлер белгіленген талаптарды сақтаған жағдайда мемлекеттік тапсырысты орналастыруға қатыса алады. Қатысу шарттары қызмет бағытына байланысты болады: спорт секциялары, шығармашылық үйірмелер немесе қосымша білім берудің білім беру бағдарламалары. Қызмет көрсетуші үй-жайларға, персоналға, білім беру бағдарламаларына, балалардың қауіпсіздігіне және тиісті ақпараттық жүйеде тіркелу тәртібіне қойылатын қолданыстағы талаптармен танысуы қажет. Толық ақпаратты мемлекеттік тапсырысты орналастыруға жауапты өңірдің уәкілетті органынан алуға болады.</w:t>
        <w:br/>
      </w:r>
    </w:p>
    <w:p>
      <w:pPr>
        <w:jc w:val="left"/>
      </w:pPr>
      <w:r>
        <w:rPr>
          <w:b w:val="on"/>
          <w:i w:val="on"/>
          <w:sz w:val="24"/>
        </w:rPr>
        <w:t>Анықтамалық ақпарат</w:t>
        <w:br/>
      </w:r>
    </w:p>
    <w:p>
      <w:pPr>
        <w:jc w:val="left"/>
      </w:pPr>
      <w:r>
        <w:rPr>
          <w:sz w:val="24"/>
        </w:rPr>
        <w:t xml:space="preserve"> </w:t>
      </w:r>
      <w:hyperlink r:id="rId5">
        <w:r>
          <w:t>Балалар мен жасөспірімдерге арналған спорт секцияларында мемлекеттік спорттық тапсырысты орналастыру және олардың жұмыс істеу қағидаларын бекіту туралы</w:t>
          <w:br/>
        </w:r>
      </w:hyperlink>
    </w:p>
    <w:p>
      <w:pPr>
        <w:pBdr>
          <w:bottom w:val="thick"/>
        </w:pBdr>
      </w:pPr>
    </w:p>
    <w:p>
      <w:r>
        <w:br/>
      </w:r>
    </w:p>
    <w:p>
      <w:pPr>
        <w:jc w:val="left"/>
      </w:pPr>
      <w:r>
        <w:rPr>
          <w:b w:val="on"/>
          <w:i w:val="off"/>
          <w:sz w:val="28"/>
        </w:rPr>
        <w:t>4. Баланы қандай жағдайларда үйірмеден немесе секциядан шығаруы мүмкін</w:t>
        <w:br/>
      </w:r>
    </w:p>
    <w:p>
      <w:pPr>
        <w:jc w:val="left"/>
      </w:pPr>
      <w:r>
        <w:rPr>
          <w:b w:val="on"/>
          <w:i w:val="on"/>
          <w:sz w:val="24"/>
        </w:rPr>
        <w:t>Нұсқаулық</w:t>
        <w:br/>
      </w:r>
    </w:p>
    <w:p>
      <w:pPr>
        <w:jc w:val="left"/>
      </w:pPr>
      <w:r>
        <w:rPr>
          <w:b w:val="off"/>
          <w:i w:val="off"/>
          <w:sz w:val="24"/>
        </w:rPr>
        <w:t>Баланы үйірмеден немесе спорт секциясынан шығару тиісті мемлекеттік тапсырыстың қолданыстағы қағидаларында және қызмет көрсету шартында көзделген негіздер бойынша жүзеге асырылады. Қолданылатын тәртіпке байланысты оқудан шығару негіздері мыналарға байланысты болуы мүмкін: заңды өкілдің сабақтарды тоқтату туралы өтініші; шарт талаптарының бұзылуы; сабақтарды дәлелді себепсіз өткізіп алу; белгіленген тәртіппен расталған медициналық қарсы көрсетілімдердің болуы; қолданылатын қағидаларда көзделген басқа да мән-жайлар. Қызмет көрсетуші сабақтарды тоқтатудың және оқудан шығаруды ресімдеудің белгіленген тәртібін сақтауға міндетті. Қызмет көрсетушінің шешімімен келіспеген жағдайда заңды өкіл мемлекеттік тапсырыс операторына немесе тиісті жергілікті уәкілетті органға жүгінуге құқылы.</w:t>
        <w:br/>
      </w:r>
    </w:p>
    <w:p>
      <w:pPr>
        <w:jc w:val="left"/>
      </w:pPr>
      <w:r>
        <w:rPr>
          <w:b w:val="on"/>
          <w:i w:val="on"/>
          <w:sz w:val="24"/>
        </w:rPr>
        <w:t>Анықтамалық ақпарат</w:t>
        <w:br/>
      </w:r>
    </w:p>
    <w:p>
      <w:pPr>
        <w:jc w:val="left"/>
      </w:pPr>
      <w:r>
        <w:rPr>
          <w:sz w:val="24"/>
        </w:rPr>
        <w:t xml:space="preserve"> </w:t>
      </w:r>
      <w:hyperlink r:id="rId6">
        <w:r>
          <w:t>Балалар мен жасөспірімдерге арналған спорт секцияларында мемлекеттік спорттық тапсырысты орналастыру және олардың жұмыс істеу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100022631" TargetMode="External" Type="http://schemas.openxmlformats.org/officeDocument/2006/relationships/hyperlink"/><Relationship Id="rId3" Target="https://adilet.zan.kz/kaz/docs/V2100022644" TargetMode="External" Type="http://schemas.openxmlformats.org/officeDocument/2006/relationships/hyperlink"/><Relationship Id="rId4" Target="https://www.gov.kz/article/740?lang=kk" TargetMode="External" Type="http://schemas.openxmlformats.org/officeDocument/2006/relationships/hyperlink"/><Relationship Id="rId5" Target="https://adilet.zan.kz/kaz/docs/V2100022631" TargetMode="External" Type="http://schemas.openxmlformats.org/officeDocument/2006/relationships/hyperlink"/><Relationship Id="rId6" Target="https://adilet.zan.kz/kaz/docs/V210002263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2026-10-29T04:38:00Z</dcterms:created>
  <dc:creator>Apache POI</dc:creator>
</cp:coreProperties>
</file>