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Дербес деректерді қалай қорғауға болады</w:t>
        <w:br/>
        <w:br/>
      </w:r>
    </w:p>
    <w:p>
      <w:pPr>
        <w:jc w:val="left"/>
      </w:pPr>
      <w:r>
        <w:rPr>
          <w:b w:val="on"/>
          <w:i w:val="off"/>
          <w:sz w:val="28"/>
        </w:rPr>
        <w:t>Кіріспе</w:t>
        <w:br/>
      </w:r>
    </w:p>
    <w:p>
      <w:pPr>
        <w:jc w:val="left"/>
      </w:pPr>
      <w:r>
        <w:rPr>
          <w:b w:val="off"/>
          <w:i w:val="off"/>
          <w:sz w:val="24"/>
        </w:rPr>
        <w:t>Дербес деректердің таралып кетуі және кибералаяқтық әлі де елеулі қауіп болып отыр. Алаяқтар әлеуметтік инженерия әдістерін белсенді пайдаланып, таралып кеткен деректер базасын азаматтарға психологиялық қысым көрсетумен ұштастырады. Қазақстанда ақпаратты жинау, өңдеу және қорғау мәселелері Қазақстан Республикасының «Дербес деректер және оларды қорғау туралы» Заңымен, сондай-ақ киберқауіпсіздіктің жаңа стандарттарымен қатаң реттеледі. Бұл материалда қауіпсіздіктің өзекті ережелері мен азаматтардың құқықтары сипатталған.</w:t>
        <w:br/>
      </w:r>
    </w:p>
    <w:p>
      <w:pPr>
        <w:pBdr>
          <w:bottom w:val="thick"/>
        </w:pBdr>
      </w:pPr>
    </w:p>
    <w:p>
      <w:r>
        <w:br/>
      </w:r>
    </w:p>
    <w:p>
      <w:pPr>
        <w:jc w:val="left"/>
      </w:pPr>
      <w:r>
        <w:rPr>
          <w:b w:val="on"/>
          <w:i w:val="off"/>
          <w:sz w:val="28"/>
        </w:rPr>
        <w:t>1. Деректердің таралып кетуі орын алса: алаяқтар қалай әрекет етеді және не істеу керек</w:t>
        <w:br/>
      </w:r>
    </w:p>
    <w:p>
      <w:pPr>
        <w:jc w:val="left"/>
      </w:pPr>
      <w:r>
        <w:rPr>
          <w:b w:val="on"/>
          <w:i w:val="on"/>
          <w:sz w:val="24"/>
        </w:rPr>
        <w:t>Нұсқаулық</w:t>
        <w:br/>
      </w:r>
    </w:p>
    <w:p>
      <w:pPr>
        <w:jc w:val="left"/>
      </w:pPr>
      <w:r>
        <w:rPr>
          <w:b w:val="off"/>
          <w:i w:val="off"/>
          <w:sz w:val="24"/>
        </w:rPr>
        <w:t>Әдетте ашық қолжетімділіктен табылған базалық ақпарат (Т.А.Ә., байланыс деректері) алаяқтар тарапынан бастапқы сенімге кіру үшін пайдаланылады. Қоңырау шалушының азаматқа аты-жөнімен немесе әкесінің атымен жүгінуі не құжат нөмірін атауы жалған сенім тудырып, қырағылықты тек елес деңгейінде төмендетуі мүмкін. Кең таралған схемалар: «Өтемақы тағайындалды» деген жалған хабарламалар жіберу, жалған кредиттер рәсімделгені туралы хабарлау немесе ақшаны «қауіпсіз шоттарға» аударуды талап ету. Банктерге қатысты маңызды ереже: Банктер мен мемлекеттік органдардың қызметкерлері ешқашан құпия деректерді (парольдерді, SMS арқылы келген кодтарды, CVV/CVC кодтарын) сұрамайды. Залалды өтеу туралы: Егер азамат психологиялық қысымға ұшырап, құпия кодтарды алаяқтарға өз еркімен берсе немесе қаражатын аударса, ақшаны қайтару өте қиын. Алайда шоттардың деректері компрометацияланған жағдайда, карталарды бұғаттау үшін дереу өз банкіңізге хабарласып, құқық қорғау органдарына арыз беру қажет. Келтірілген залалды өтеу мәселесі оқиғаның мән-жайына қарай жеке тәртіппен және сот арқылы қаралады.</w:t>
        <w:br/>
      </w:r>
    </w:p>
    <w:p>
      <w:pPr>
        <w:jc w:val="left"/>
      </w:pPr>
      <w:r>
        <w:rPr>
          <w:b w:val="on"/>
          <w:i w:val="on"/>
          <w:sz w:val="24"/>
        </w:rPr>
        <w:t>Анықтамалық ақпарат</w:t>
        <w:br/>
      </w:r>
    </w:p>
    <w:p>
      <w:pPr>
        <w:jc w:val="left"/>
      </w:pPr>
      <w:r>
        <w:rPr>
          <w:sz w:val="24"/>
        </w:rPr>
        <w:t xml:space="preserve"> </w:t>
      </w:r>
      <w:hyperlink r:id="rId2">
        <w:r>
          <w:t>«Дербес деректер және оларды қорғау туралы» Қазақстан Республикасының Заңы № 94-V</w:t>
          <w:br/>
        </w:r>
      </w:hyperlink>
    </w:p>
    <w:p>
      <w:pPr>
        <w:pBdr>
          <w:bottom w:val="thick"/>
        </w:pBdr>
      </w:pPr>
    </w:p>
    <w:p>
      <w:r>
        <w:br/>
      </w:r>
    </w:p>
    <w:p>
      <w:pPr>
        <w:jc w:val="left"/>
      </w:pPr>
      <w:r>
        <w:rPr>
          <w:b w:val="on"/>
          <w:i w:val="off"/>
          <w:sz w:val="28"/>
        </w:rPr>
        <w:t>2. Дербес деректер алаяқтардың қолына қалай түседі</w:t>
        <w:br/>
      </w:r>
    </w:p>
    <w:p>
      <w:pPr>
        <w:jc w:val="left"/>
      </w:pPr>
      <w:r>
        <w:rPr>
          <w:b w:val="on"/>
          <w:i w:val="on"/>
          <w:sz w:val="24"/>
        </w:rPr>
        <w:t>Нұсқаулық</w:t>
        <w:br/>
      </w:r>
    </w:p>
    <w:p>
      <w:pPr>
        <w:jc w:val="left"/>
      </w:pPr>
      <w:r>
        <w:rPr>
          <w:b w:val="off"/>
          <w:i w:val="off"/>
          <w:sz w:val="24"/>
        </w:rPr>
        <w:t>Деректердің таралып кетуі бірнеше негізгі арна арқылы орын алады: Коммерциялық ұйымдардың, интернет-дүкендердің және брондау сервистерінің ақпараттық жүйелерін бұзу. Азаматтардың фишингтік сайттарға, жалған ұтыс ойындары, лотереялар немесе «инвестициялық» платформалар беттеріне өз деректерін ерікті түрде енгізуі. Әлеуметтік желілердегі және мессенджерлердегі аккаунттарға рұқсатсыз қол жеткізу. Заңға сәйкес, деректер базаларының операторлары мен меншік иелері деректерді қорғаудың қатаң техникалық шараларын (оның ішінде хештеу, маскалау және деректерді анонимдеу) қамтамасыз етуге міндетті. Алайда жеке цифрлық гигиена алаяқтардан қорғанудың негізгі тетігі болып қала береді.</w:t>
        <w:br/>
      </w:r>
    </w:p>
    <w:p>
      <w:pPr>
        <w:pBdr>
          <w:bottom w:val="thick"/>
        </w:pBdr>
      </w:pPr>
    </w:p>
    <w:p>
      <w:r>
        <w:br/>
      </w:r>
    </w:p>
    <w:p>
      <w:pPr>
        <w:jc w:val="left"/>
      </w:pPr>
      <w:r>
        <w:rPr>
          <w:b w:val="on"/>
          <w:i w:val="off"/>
          <w:sz w:val="28"/>
        </w:rPr>
        <w:t>3. Дербес деректер субъектісінің жаңа заңнамаға сәйкес құқықтары</w:t>
        <w:br/>
      </w:r>
    </w:p>
    <w:p>
      <w:pPr>
        <w:jc w:val="left"/>
      </w:pPr>
      <w:r>
        <w:rPr>
          <w:b w:val="on"/>
          <w:i w:val="on"/>
          <w:sz w:val="24"/>
        </w:rPr>
        <w:t>Нұсқаулық</w:t>
        <w:br/>
      </w:r>
    </w:p>
    <w:p>
      <w:pPr>
        <w:jc w:val="left"/>
      </w:pPr>
      <w:r>
        <w:rPr>
          <w:b w:val="off"/>
          <w:i w:val="off"/>
          <w:sz w:val="24"/>
        </w:rPr>
        <w:t>Қазақстандағы әрбір азамат өзінің дербес деректеріне қатысты мынадай заңды құқықтарға ие: Хабардар болу құқығы: дербес деректеріңізді кім, қандай мақсатта және қандай тәсілдермен жинайтынын және өңдейтінін, сондай-ақ олардың кімге берілетінін білу. Келісімді кері қайтарып алу құқығы: дербес деректерді жинауға және өңдеуге берген келісіміңізді кез келген уақытта кері қайтарып алуға құқылысыз. Бұған Қазақстан Республикасының заңдарына тікелей қайшы келетін немесе орындалмаған міндеттемелерді орындауға байланысты жағдайлар, мысалы, қолданыстағы кредиттік шарттар бойынша міндеттемелерді орындау жағдайлары кірмейді. Деректерді түзету және жою құқығы: егер дербес деректеріңіз ескірген, дұрыс емес немесе заңсыз жолмен алынған болса, деректер базасының меншік иесінен оларды өзгерту, бұғаттау немесе жоюды талап етуге құқылысыз. Ерікті киберсақтандыру: жаңартылған заңнамаға сәйкес азаматтар мен ұйымдар ерікті киберсақтандыру тетіктерін пайдалана алады. Бұл құрал киберинциденттер, деректер базаларына рұқсатсыз қол жеткізу немесе құпия ақпараттың таралып кетуі салдарынан келтірілген залалды жабуға және мүліктік зиянды өтеуге бағытталған.</w:t>
        <w:br/>
      </w:r>
    </w:p>
    <w:p>
      <w:pPr>
        <w:jc w:val="left"/>
      </w:pPr>
      <w:r>
        <w:rPr>
          <w:b w:val="on"/>
          <w:i w:val="on"/>
          <w:sz w:val="24"/>
        </w:rPr>
        <w:t>Анықтамалық ақпарат</w:t>
        <w:br/>
      </w:r>
    </w:p>
    <w:p>
      <w:pPr>
        <w:jc w:val="left"/>
      </w:pPr>
      <w:r>
        <w:rPr>
          <w:sz w:val="24"/>
        </w:rPr>
        <w:t xml:space="preserve"> </w:t>
      </w:r>
      <w:hyperlink r:id="rId3">
        <w:r>
          <w:t>«Дербес деректер және оларды қорғау туралы» Қазақстан Республикасының Заңы № 94-V</w:t>
          <w:br/>
        </w:r>
      </w:hyperlink>
    </w:p>
    <w:p>
      <w:pPr>
        <w:pBdr>
          <w:bottom w:val="thick"/>
        </w:pBdr>
      </w:pPr>
    </w:p>
    <w:p>
      <w:r>
        <w:br/>
      </w:r>
    </w:p>
    <w:p>
      <w:pPr>
        <w:jc w:val="left"/>
      </w:pPr>
      <w:r>
        <w:rPr>
          <w:b w:val="on"/>
          <w:i w:val="off"/>
          <w:sz w:val="28"/>
        </w:rPr>
        <w:t>4. Дербес деректерді қорғау бойынша қауіпсіздік қағидалары</w:t>
        <w:br/>
      </w:r>
    </w:p>
    <w:p>
      <w:pPr>
        <w:jc w:val="left"/>
      </w:pPr>
      <w:r>
        <w:rPr>
          <w:b w:val="on"/>
          <w:i w:val="on"/>
          <w:sz w:val="24"/>
        </w:rPr>
        <w:t>Нұсқаулық</w:t>
        <w:br/>
      </w:r>
    </w:p>
    <w:p>
      <w:pPr>
        <w:jc w:val="left"/>
      </w:pPr>
      <w:r>
        <w:rPr>
          <w:b w:val="off"/>
          <w:i w:val="off"/>
          <w:sz w:val="24"/>
        </w:rPr>
        <w:t>Ақпараттың таралып кету қаупін азайту үшін негізгі қауіпсіздік ережелерін сақтаңыз: Ешкімге және ешбір жағдайда PIN-кодты, CVV/CVC-кодтарды, SMS арқылы келген құпия кодтарды және төлем карталарының толық деректемелерін хабарламаңыз. Жеке құжаттарды (жеке куәлік, паспорт) және олардың көшірмелерін ашық қолжетімді жерде немесе тексерілмеген чаттарда жарияламаңыз. Күрделі құпиясөздерді (кемінде 10 таңбадан тұратын, әртүрлі регистрдегі әріптерді, сандар мен арнайы таңбаларды қамтитын) электрондық пошта, интернет-банкинг және мемлекеттік сервистер үшін пайдаланыңыз, оларды үнемі ауыстырып отырыңыз және екі факторлы аутентификацияны қосыңыз. Онлайн сатып алу кезінде сайттарды тексеріңіз: мекенжай жолағында https протоколы және жабық құлып белгішесі болуы керек. Интернет-сатып алулар үшін балансы ең аз жеке виртуалды картаны ашу ұсынылады. Электрондық хаттар мен мессенджерлерден келген күмәнді сілтемелерді баспаңыз, әсіресе олар жылдам әрі оңай табыс немесе өтемақы уәде етсе. Қоғамдық, ашық Wi-Fi желілерін мобильді банкингке немесе жеке электрондық поштаға кіру үшін пайдаланбаңыз. Барлық құрылғыларыңызға (смартфондар мен компьютерлерге) лицензиялық антивирустық бағдарламаны орнатыңыз.</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1300000094" TargetMode="External" Type="http://schemas.openxmlformats.org/officeDocument/2006/relationships/hyperlink"/><Relationship Id="rId3" Target="https://adilet.zan.kz/kaz/docs/Z1300000094"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2026-10-30T02:02:31Z</dcterms:created>
  <dc:creator>Apache POI</dc:creator>
</cp:coreProperties>
</file>