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i w:val="off"/>
          <w:sz w:val="32"/>
        </w:rPr>
        <w:t>За счет каких взносов формируется пенсионный фонд</w:t>
        <w:br/>
        <w:br/>
      </w:r>
    </w:p>
    <w:p>
      <w:pPr>
        <w:jc w:val="left"/>
      </w:pPr>
      <w:r>
        <w:rPr>
          <w:b w:val="on"/>
          <w:i w:val="off"/>
          <w:sz w:val="28"/>
        </w:rPr>
        <w:t>Введение</w:t>
        <w:br/>
      </w:r>
    </w:p>
    <w:p>
      <w:pPr>
        <w:jc w:val="left"/>
      </w:pPr>
      <w:r>
        <w:rPr>
          <w:b w:val="off"/>
          <w:i w:val="off"/>
          <w:sz w:val="24"/>
        </w:rPr>
        <w:t>Ежемесячные отчисления из заработной платы — это взносы в пенсионный фонд. Пенсионные взносы и начисленный на них инвестиционный доход формируют общую финансовую подушку безопасности, из которой выплачиваются пенсии. Пенсионные отчисления бывают: обязательные, или ОПВ, которые уплачиваются с доходов работника; обязательные профессиональные, или ОППВ, которые уплачиваются за счет средств работника, работающего во вредных условиях труда; с 1 января 2024 года введены обязательные пенсионные взносы работодателя, или ОПВР которые уплачиваются работодателями за своих работников за счет собственных средств; добровольные пенсионные взносы (ДПВ), которые уплачиваются физическими лицами в свою пользу за счет своего дохода; физическими и юридическими лицами в пользу получателя (третьего лица). В материале подробнее расскажем о вышеуказанных пенсионных отчислениях.</w:t>
        <w:br/>
      </w:r>
    </w:p>
    <w:p>
      <w:pPr>
        <w:pBdr>
          <w:bottom w:val="thick"/>
        </w:pBdr>
      </w:pPr>
    </w:p>
    <w:p>
      <w:r>
        <w:br/>
      </w:r>
    </w:p>
    <w:p>
      <w:pPr>
        <w:jc w:val="left"/>
      </w:pPr>
      <w:r>
        <w:rPr>
          <w:b w:val="on"/>
          <w:i w:val="off"/>
          <w:sz w:val="28"/>
        </w:rPr>
        <w:t>1. Обязательные пенсионные взносы (ОПВ)</w:t>
        <w:br/>
      </w:r>
    </w:p>
    <w:p>
      <w:pPr>
        <w:jc w:val="left"/>
      </w:pPr>
      <w:r>
        <w:rPr>
          <w:b w:val="on"/>
          <w:i w:val="on"/>
          <w:sz w:val="24"/>
        </w:rPr>
        <w:t>Инструкция</w:t>
        <w:br/>
      </w:r>
    </w:p>
    <w:p>
      <w:pPr>
        <w:jc w:val="left"/>
      </w:pPr>
      <w:r>
        <w:rPr>
          <w:b w:val="off"/>
          <w:i w:val="off"/>
          <w:sz w:val="24"/>
        </w:rPr>
        <w:t>Обязательные взносы платят: юридические и физические лица; частные и индивидуальные предприниматели; субъекты малого бизнеса; крестьянские и фермерские хозяйства; те, кто работает за пределами страны, оставаясь ее гражданином. Обязательные пенсионные взносы (ОПВ), подлежащие уплате в ЕНПФ, устанавливаются в размере 10 % от ежемесячного дохода, принимаемого для исчисления ОПВ. При этом ежемесячный доход, принимаемый для исчисления ОПВ, не должен превышать 50-кратный минимальный размер заработной платы (МРЗП). При этом максимальный совокупный годовой доход, принимаемый для исчисления обязательных пенсионных взносов, не должен превышать двенадцать размеров 50-кратного минимального размера заработной платы, установленного на соответствующий финансовый год законом о республиканском бюджете. Перечисление ОПВ производится агентами. Агенты ежемесячно исчисляют и удерживают ОПВ из доходов, выплачиваемых работникам, а также доходов физических лиц, заключивших договор гражданско-правового характера, и перечисляют их в ЕНПФ. Лица, занимающиеся частной практикой, а также индивидуальные предприниматели исчисляют ОПВ за каждый месяц налогового периода и перечисляют их в ЕНПФ в свою пользу, с указанием следующих реквизитов Государственной корпорации: Бенефициар НАО «Государственная корпорация «Правительство для граждан» Банк бенефициара НАО «Государственная корпорация «Правительство для граждан» БИК бенефициара GCVPKZ2A ИИК бенефициара KZ12009NPS0413609816 БИН бенефициара 160440007161 КНП (Код назначения платежа) 010</w:t>
        <w:br/>
      </w:r>
    </w:p>
    <w:p>
      <w:pPr>
        <w:jc w:val="left"/>
      </w:pPr>
      <w:r>
        <w:rPr>
          <w:b w:val="on"/>
          <w:i w:val="on"/>
          <w:sz w:val="24"/>
        </w:rPr>
        <w:t>Справочная</w:t>
        <w:br/>
      </w:r>
    </w:p>
    <w:p>
      <w:pPr>
        <w:jc w:val="left"/>
      </w:pPr>
      <w:r>
        <w:rPr>
          <w:sz w:val="24"/>
        </w:rPr>
        <w:t xml:space="preserve"> </w:t>
      </w:r>
      <w:hyperlink r:id="rId2">
        <w:r>
          <w:t>СОЦИАЛЬНЫЙ КОДЕКС РЕСПУБЛИКИ КАЗАХСТАН</w:t>
          <w:br/>
        </w:r>
      </w:hyperlink>
    </w:p>
    <w:p>
      <w:pPr>
        <w:jc w:val="left"/>
      </w:pPr>
      <w:r>
        <w:rPr>
          <w:sz w:val="24"/>
        </w:rPr>
        <w:t xml:space="preserve"> </w:t>
      </w:r>
      <w:hyperlink r:id="rId3">
        <w:r>
          <w:t>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br/>
        </w:r>
      </w:hyperlink>
    </w:p>
    <w:p>
      <w:pPr>
        <w:pBdr>
          <w:bottom w:val="thick"/>
        </w:pBdr>
      </w:pPr>
    </w:p>
    <w:p>
      <w:r>
        <w:br/>
      </w:r>
    </w:p>
    <w:p>
      <w:pPr>
        <w:jc w:val="left"/>
      </w:pPr>
      <w:r>
        <w:rPr>
          <w:b w:val="on"/>
          <w:i w:val="off"/>
          <w:sz w:val="28"/>
        </w:rPr>
        <w:t>2. Обязательные профессиональные взносы (ОППВ)</w:t>
        <w:br/>
      </w:r>
    </w:p>
    <w:p>
      <w:pPr>
        <w:jc w:val="left"/>
      </w:pPr>
      <w:r>
        <w:rPr>
          <w:b w:val="on"/>
          <w:i w:val="on"/>
          <w:sz w:val="24"/>
        </w:rPr>
        <w:t>Инструкция</w:t>
        <w:br/>
      </w:r>
    </w:p>
    <w:p>
      <w:pPr>
        <w:jc w:val="left"/>
      </w:pPr>
      <w:r>
        <w:rPr>
          <w:b w:val="off"/>
          <w:i w:val="off"/>
          <w:sz w:val="24"/>
        </w:rPr>
        <w:t>Для защиты и компенсации ущерба здоровью людям, работающим на вредном производстве, государство предусмотрено в том числе такой механизм, как ОППВ. ОППВ устанавливаются в размере 5 % от ежемесячного дохода работника, принимаемого для исчисления пенсионных взносов в порядке, определяемом Правительством РК. Вкладчиком ОППВ является работодатель (агент). Именно Агенты ежемесячно осуществляют ОППВ из доходов, принимаемых для исчисления ОППВ, исходя из суммы начисленного дохода работника за месяц. Агенты осуществляют ОППВ работникам, занятым на работах с вредными условиями труда, профессии которых предусмотрены в перечне, утвержденном постановлением Правительства РК. ОППВ также уплачиваются работникам производственных, вспомогательных и подсобных цехов организации, временно занятых на работах с вредными условиями труда, предусмотренных перечнем. ОППВ осуществляются работникам, профессии и должности которых предусмотрены в разделе «Общие профессии» Перечня, независимо от того, в каких производствах или цехах они работают, если эти профессии специально не предусмотрены в соответствующих разделах или подразделах Перечня. В случае выявления по результатам аттестации производственных объектов по условиям труда и периодических обязательных медицинских осмотров профессий работников с вредными условиями труда, занятых не менее 80 % рабочего времени в месяц, работодатели, представители работников, заинтересованные государственные органы вносят в уполномоченный орган по труду обоснованные предложения по их включению в перечень. В случае исключения вредных условий труда, подтвержденных результатами аттестации производственных объектов, уплата ОППВ агентами не осуществляется.</w:t>
        <w:br/>
      </w:r>
    </w:p>
    <w:p>
      <w:pPr>
        <w:jc w:val="left"/>
      </w:pPr>
      <w:r>
        <w:rPr>
          <w:b w:val="on"/>
          <w:i w:val="on"/>
          <w:sz w:val="24"/>
        </w:rPr>
        <w:t>Справочная</w:t>
        <w:br/>
      </w:r>
    </w:p>
    <w:p>
      <w:pPr>
        <w:jc w:val="left"/>
      </w:pPr>
      <w:r>
        <w:rPr>
          <w:sz w:val="24"/>
        </w:rPr>
        <w:t xml:space="preserve"> </w:t>
      </w:r>
      <w:hyperlink r:id="rId4">
        <w:r>
          <w:t>Социальный кодекс Республики Казахстан, ст. 248, ст. 250</w:t>
          <w:br/>
        </w:r>
      </w:hyperlink>
    </w:p>
    <w:p>
      <w:pPr>
        <w:jc w:val="left"/>
      </w:pPr>
      <w:r>
        <w:rPr>
          <w:sz w:val="24"/>
        </w:rPr>
        <w:t xml:space="preserve"> </w:t>
      </w:r>
      <w:hyperlink r:id="rId5">
        <w:r>
          <w:t>Об утверждении Правил осуществления обязательных профессиональных пенсионных взносов</w:t>
          <w:br/>
        </w:r>
      </w:hyperlink>
    </w:p>
    <w:p>
      <w:pPr>
        <w:jc w:val="left"/>
      </w:pPr>
      <w:r>
        <w:rPr>
          <w:sz w:val="24"/>
        </w:rPr>
        <w:t xml:space="preserve"> </w:t>
      </w:r>
      <w:hyperlink r:id="rId6">
        <w:r>
          <w:t>Об утверждении перечня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br/>
        </w:r>
      </w:hyperlink>
    </w:p>
    <w:p>
      <w:pPr>
        <w:pBdr>
          <w:bottom w:val="thick"/>
        </w:pBdr>
      </w:pPr>
    </w:p>
    <w:p>
      <w:r>
        <w:br/>
      </w:r>
    </w:p>
    <w:p>
      <w:pPr>
        <w:jc w:val="left"/>
      </w:pPr>
      <w:r>
        <w:rPr>
          <w:b w:val="on"/>
          <w:i w:val="off"/>
          <w:sz w:val="28"/>
        </w:rPr>
        <w:t>3. Обязательные пенсионные взносы работодателя (ОПВР)</w:t>
        <w:br/>
      </w:r>
    </w:p>
    <w:p>
      <w:pPr>
        <w:jc w:val="left"/>
      </w:pPr>
      <w:r>
        <w:rPr>
          <w:b w:val="on"/>
          <w:i w:val="on"/>
          <w:sz w:val="24"/>
        </w:rPr>
        <w:t>Инструкция</w:t>
        <w:br/>
      </w:r>
    </w:p>
    <w:p>
      <w:pPr>
        <w:jc w:val="left"/>
      </w:pPr>
      <w:r>
        <w:rPr>
          <w:b w:val="off"/>
          <w:i w:val="off"/>
          <w:sz w:val="24"/>
        </w:rPr>
        <w:t>С 1 января 2024 года введены обязательные пенсионные взносы работодателя (ОПВР). ОПВР уплачиваются за граждан, родившихся после 1 января 1975 года. Уплата ОПВР осуществляется работодателями за своих работников за счет собственных средств. Пенсионные выплаты за счет ОПВР будут выплачиваться пожизненно. В доход для исчисления ОПВР включаются все виды оплаты труда в денежном выражении и иные доходы. Объектами исчисления ОПВР: для юридических лиц – ежемесячный доход наемных работников, лиц, имеющих иную оплачиваемую работу (избранные, назначенные или утвержденные), принимаемый для исчисления обязательных пенсионных взносов работодателя; для лиц, занимающихся частной практикой, а также индивидуальных предпринимателей, использующих труд наемных работников, – ежемесячный доход наемных работников и лиц, имеющих иную оплачиваемую работу (избранные, назначенные или утвержденные), принимаемый для исчисления обязательных пенсионных взносов работодателя; для Министерства иностранных дел Республики Казахстан (МИД) в части персонала дипломатической службы, работающего в загранучреждениях Республики Казахстан: сотрудники дипломатической службы – 100 процентный размер оклада, в соответствии с единой системой оплаты труда на основании распределения с установленными денежными выплатами; работники дипломатической службы – 100 процентный размер оклада, в соответствии с единой системой оплаты труда на основании распределения по приравненной должности персонала дипломатической службы МИД с установленными денежными выплатами; для лиц, занимающихся частной практикой, а также индивидуальных предпринимателей – исчисление обязательных пенсионных взносов работодателя в свою пользу, которое осуществляется с получаемого ими дохода. Агенты, лица, имеющие иную оплачиваемую работу (избранные, назначенные или утвержденные), своевременно исчисляют, начисляют и уплачивают за счет собственных средств ОПВР в ЕНПФ. Агенты ежемесячно исчисляют ОПВР от суммы начисленного дохода работника за месяц, с указанием следующих реквизитов: Бенефициар НАО «Государственная корпорация «Правительство для граждан» Банк бенефициара НАО «Государственная корпорация «Правительство для граждан» БИК бенефициара GCVPKZ2A ИИК бенефициара KZ12009NPS0413609816 БИН бенефициара 160440007161 КНП (Код назначения платежа) 010</w:t>
        <w:br/>
      </w:r>
    </w:p>
    <w:p>
      <w:pPr>
        <w:jc w:val="left"/>
      </w:pPr>
      <w:r>
        <w:rPr>
          <w:b w:val="on"/>
          <w:i w:val="on"/>
          <w:sz w:val="24"/>
        </w:rPr>
        <w:t>Справочная</w:t>
        <w:br/>
      </w:r>
    </w:p>
    <w:p>
      <w:pPr>
        <w:jc w:val="left"/>
      </w:pPr>
      <w:r>
        <w:rPr>
          <w:sz w:val="24"/>
        </w:rPr>
        <w:t xml:space="preserve"> </w:t>
      </w:r>
      <w:hyperlink r:id="rId7">
        <w:r>
          <w:t>Социальный кодекс Республики Казахстан, ст. 248, ст. 249, ст. 251</w:t>
          <w:br/>
        </w:r>
      </w:hyperlink>
    </w:p>
    <w:p>
      <w:pPr>
        <w:jc w:val="left"/>
      </w:pPr>
      <w:r>
        <w:rPr>
          <w:sz w:val="24"/>
        </w:rPr>
        <w:t xml:space="preserve"> </w:t>
      </w:r>
      <w:hyperlink r:id="rId8">
        <w:r>
          <w:t>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br/>
        </w:r>
      </w:hyperlink>
    </w:p>
    <w:p>
      <w:pPr>
        <w:pBdr>
          <w:bottom w:val="thick"/>
        </w:pBdr>
      </w:pPr>
    </w:p>
    <w:p>
      <w:r>
        <w:br/>
      </w:r>
    </w:p>
    <w:p>
      <w:pPr>
        <w:jc w:val="left"/>
      </w:pPr>
      <w:r>
        <w:rPr>
          <w:b w:val="on"/>
          <w:i w:val="off"/>
          <w:sz w:val="28"/>
        </w:rPr>
        <w:t>4. Добровольные пенсионные взносы</w:t>
        <w:br/>
      </w:r>
    </w:p>
    <w:p>
      <w:pPr>
        <w:jc w:val="left"/>
      </w:pPr>
      <w:r>
        <w:rPr>
          <w:b w:val="on"/>
          <w:i w:val="on"/>
          <w:sz w:val="24"/>
        </w:rPr>
        <w:t>Инструкция</w:t>
        <w:br/>
      </w:r>
    </w:p>
    <w:p>
      <w:pPr>
        <w:jc w:val="left"/>
      </w:pPr>
      <w:r>
        <w:rPr>
          <w:b w:val="off"/>
          <w:i w:val="off"/>
          <w:sz w:val="24"/>
        </w:rPr>
        <w:t>Добровольные пенсионные взносы граждане платят по своей инициативе, в любом объеме и с любой периодичностью. Добровольные пенсионные взносы в единый накопительный пенсионный фонд (далее – ЕНПФ) и (или) добровольный накопительный пенсионный фонд (далее – ДНПФ) вносятся вкладчиками: физическими лицами в свою пользу за счет своего дохода; физическими и юридическими лицами в пользу получателя (третьего лица). Вкладчик добровольных пенсионных взносов вправе выбрать для уплаты добровольных пенсионных взносов ЕНПФ и (или) ДНПФ. Ставка добровольных пенсионных взносов и порядок их уплаты определяются вкладчиком (получателем) самостоятельно. Физическим лицом-резидентом РК по расходам на уплату добровольных пенсионных взносов, произведенным в свою пользу, применяется налоговый вычет. Вычет применяется в том налоговом периоде, на который приходится дата уплаты добровольных пенсионных взносов. Подтверждающими документами для применения налогового вычета по добровольным пенсионным взносам являются договор. Заключение договора о пенсионном обеспечении за счет добровольных пенсионных взносов (далее – договор) осуществляется при личном обращении в ЕНПФ вкладчика (получателя), вкладчика и получателя (при заключении договора в пользу третьего лица) или законного представителя несовершеннолетнего лица, доверенного лица на основании нотариально удостоверенной доверенности. Заключение договора осуществляется в офисе ЕНПФ при личном обращении вкладчика и (или) получателя/поверенного лица/ законного представителя. В случае, если у физического лица (получателя) имеется открытый ранее индивидуальный пенсионный счет (далее – ИПС) для учета добровольных пенсионных взносов (при условии изменения вкладчика по договору) повторное открытие ИПС, предназначенного для учета добровольных пенсионных взносов, не осуществляется, но заключается новый договор с номером ИПС и договора, открытого ранее, с текущей датой заключения нового договора. Более подробно можно ознакомиться на сайте ЕНПФ здесь. Перечисление ДПВ, производится по следующим банковским реквизитам: Бенефициар «Единый накопительный пенсионный фонд» Банк бенефициара РГУ «Национальный Банк Республики Казахстан» БИК бенефициара NBPFKZKX ИИК бенефициара KZ50147KZT4368609316 БИН бенефициара 971240002115 КНП (Код назначения платежа) 013</w:t>
        <w:br/>
      </w:r>
    </w:p>
    <w:p>
      <w:pPr>
        <w:pBdr>
          <w:bottom w:val="thick"/>
        </w:pBdr>
      </w:pPr>
    </w:p>
    <w:p>
      <w:r>
        <w:br/>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adilet.zan.kz/rus/docs/K2300000224" TargetMode="External" Type="http://schemas.openxmlformats.org/officeDocument/2006/relationships/hyperlink"/><Relationship Id="rId3" Target="https://adilet.zan.kz/rus/docs/P2300000525" TargetMode="External" Type="http://schemas.openxmlformats.org/officeDocument/2006/relationships/hyperlink"/><Relationship Id="rId4" Target="https://adilet.zan.kz/rus/docs/K2300000224" TargetMode="External" Type="http://schemas.openxmlformats.org/officeDocument/2006/relationships/hyperlink"/><Relationship Id="rId5" Target="https://adilet.zan.kz/rus/docs/P2300000520" TargetMode="External" Type="http://schemas.openxmlformats.org/officeDocument/2006/relationships/hyperlink"/><Relationship Id="rId6" Target="https://adilet.zan.kz/rus/docs/V2300032568" TargetMode="External" Type="http://schemas.openxmlformats.org/officeDocument/2006/relationships/hyperlink"/><Relationship Id="rId7" Target="https://adilet.zan.kz/rus/docs/K2300000224" TargetMode="External" Type="http://schemas.openxmlformats.org/officeDocument/2006/relationships/hyperlink"/><Relationship Id="rId8" Target="https://adilet.zan.kz/rus/docs/P2300000540"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2026-07-21T22:39:45Z</dcterms:created>
  <dc:creator>Apache POI</dc:creator>
</cp:coreProperties>
</file>