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settings+xml" PartName="/word/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rPr>
          <w:b w:val="on"/>
          <w:i w:val="off"/>
          <w:sz w:val="32"/>
        </w:rPr>
        <w:t>Что такое индивидуальная программа абилитации и реабилитации (ИПАР)</w:t>
        <w:br/>
        <w:br/>
      </w:r>
    </w:p>
    <w:p>
      <w:pPr>
        <w:jc w:val="left"/>
      </w:pPr>
      <w:r>
        <w:rPr>
          <w:b w:val="on"/>
          <w:i w:val="off"/>
          <w:sz w:val="28"/>
        </w:rPr>
        <w:t>Введение</w:t>
        <w:br/>
      </w:r>
    </w:p>
    <w:p>
      <w:pPr>
        <w:jc w:val="left"/>
      </w:pPr>
      <w:r>
        <w:rPr>
          <w:b w:val="off"/>
          <w:i w:val="off"/>
          <w:sz w:val="24"/>
        </w:rPr>
        <w:t>Индивидуальная программа абилитации и реабилитации лица с инвалидностью (ИПАР) — документ, определяющий виды, объёмы и сроки проведения реабилитационных мероприятий с учётом индивидуальных потребностей человека. ИПАР включает медицинские, социальные и профессиональные мероприятия, направленные на восстановление или компенсацию ограниченных возможностей жизнедеятельности и содействие социальной интеграции. Сведения о предусмотренных социальных мероприятиях обрабатываются в цифровых системах социальной защиты населения. Отдельные средства и услуги можно получить через Портал социальных услуг. В этом материале рассказывается, как разрабатывается ИПАР, какие меры поддержки она предусматривает и как воспользоваться ими.</w:t>
        <w:br/>
      </w:r>
    </w:p>
    <w:p>
      <w:pPr>
        <w:pBdr>
          <w:bottom w:val="thick"/>
        </w:pBdr>
      </w:pPr>
    </w:p>
    <w:p>
      <w:r>
        <w:br/>
      </w:r>
    </w:p>
    <w:p>
      <w:pPr>
        <w:jc w:val="left"/>
      </w:pPr>
      <w:r>
        <w:rPr>
          <w:b w:val="on"/>
          <w:i w:val="off"/>
          <w:sz w:val="28"/>
        </w:rPr>
        <w:t>1. Какие средства реабилитации и услуги можно получить по карте ИПАР</w:t>
        <w:br/>
      </w:r>
    </w:p>
    <w:p>
      <w:pPr>
        <w:jc w:val="left"/>
      </w:pPr>
      <w:r>
        <w:rPr>
          <w:b w:val="on"/>
          <w:i w:val="on"/>
          <w:sz w:val="24"/>
        </w:rPr>
        <w:t>Инструкция</w:t>
        <w:br/>
      </w:r>
    </w:p>
    <w:p>
      <w:pPr>
        <w:jc w:val="left"/>
      </w:pPr>
      <w:r>
        <w:rPr>
          <w:b w:val="off"/>
          <w:i w:val="off"/>
          <w:sz w:val="24"/>
        </w:rPr>
        <w:t>Лицам с инвалидностью в соответствии с индивидуальной программой абилитации и реабилитации могут предоставляться следующие средства и услуги: протезно-ортопедическая помощь; сурдотехнические и тифлотехнические средства; обязательные гигиенические средства; специальные средства передвижения, включая кресла-коляски; услуги индивидуального помощника при наличии установленных оснований; услуги специалиста жестового языка; санаторно-курортное лечение; специальные социальные услуги в стационарных, полустационарных условиях и на дому; другие мероприятия, предусмотренные ИПАР и законодательством Республики Казахстан. Как получить средства и услуги через Портал социальных услуг? Убедитесь, что соответствующее средство или услуга включены в вашу ИПАР. Оформите необходимые документы или заявление в порядке, предусмотренном для соответствующего вида помощи. После регистрации и обработки заявления сведения о мероприятии ИПАР передаются из АЦС «Е-Собес» на Портал социальных услуг. Авторизуйтесь на портале aleumet.egov.kz. Выберите доступный товар или поставщика услуги и оформите заказ. Отслеживайте сведения о заказе и его исполнении в личном кабинете. Важно! Не все мероприятия ИПАР реализуются через Портал социальных услуг. Порядок получения зависит от конкретного средства или услуги. Предоставление может осуществляться с учётом очередности и условий, установленных законодательством.</w:t>
        <w:br/>
      </w:r>
    </w:p>
    <w:p>
      <w:pPr>
        <w:jc w:val="left"/>
      </w:pPr>
      <w:r>
        <w:rPr>
          <w:b w:val="on"/>
          <w:i w:val="on"/>
          <w:sz w:val="24"/>
        </w:rPr>
        <w:t>Справочная</w:t>
        <w:br/>
      </w:r>
    </w:p>
    <w:p>
      <w:pPr>
        <w:jc w:val="left"/>
      </w:pPr>
      <w:r>
        <w:rPr>
          <w:sz w:val="24"/>
        </w:rPr>
        <w:t xml:space="preserve"> </w:t>
      </w:r>
      <w:hyperlink r:id="rId2">
        <w:r>
          <w:t>Кодекс Республики Казахстан от 20 апреля 2023 года № 224-VII ЗРК «Социальный кодекс Республики Казахстан»</w:t>
          <w:br/>
        </w:r>
      </w:hyperlink>
    </w:p>
    <w:p>
      <w:pPr>
        <w:pBdr>
          <w:bottom w:val="thick"/>
        </w:pBdr>
      </w:pPr>
    </w:p>
    <w:p>
      <w:r>
        <w:br/>
      </w:r>
    </w:p>
    <w:p>
      <w:pPr>
        <w:jc w:val="left"/>
      </w:pPr>
      <w:r>
        <w:rPr>
          <w:b w:val="on"/>
          <w:i w:val="off"/>
          <w:sz w:val="28"/>
        </w:rPr>
        <w:t>2. Разработка ИПАР</w:t>
        <w:br/>
      </w:r>
    </w:p>
    <w:p>
      <w:pPr>
        <w:jc w:val="left"/>
      </w:pPr>
      <w:r>
        <w:rPr>
          <w:b w:val="on"/>
          <w:i w:val="on"/>
          <w:sz w:val="24"/>
        </w:rPr>
        <w:t>Инструкция</w:t>
        <w:br/>
      </w:r>
    </w:p>
    <w:p>
      <w:pPr>
        <w:jc w:val="left"/>
      </w:pPr>
      <w:r>
        <w:rPr>
          <w:b w:val="off"/>
          <w:i w:val="off"/>
          <w:sz w:val="24"/>
        </w:rPr>
        <w:t>Индивидуальная программа абилитации и реабилитации разрабатывается с учётом состояния здоровья, ограничений жизнедеятельности, медицинских показаний и противопоказаний, а также индивидуальных потребностей лица с инвалидностью. Как разрабатывается ИПАР? Медицинская организация проводит необходимые обследования и определяет потребность в медицинских реабилитационных мероприятиях. При направлении на медико-социальную экспертизу (МСЭ) соответствующие сведения включаются в медицинские документы. При проведении МСЭ определяется необходимость социальных и профессиональных реабилитационных мероприятий. Формируется ИПАР с указанием видов и сроков реализации предусмотренных мероприятий. Сведения программы используются уполномоченными органами и организациями для предоставления соответствующих средств и услуг. МСЭ может проводиться очно либо в заочном проактивном формате в случаях, предусмотренных Правилами проведения медико-социальной экспертизы. Срок разработки ИПАР При очном освидетельствовании ИПАР разрабатывается в день обращения, а при заочном проактивном освидетельствовании — в течение трёх рабочих дней со дня поступления проекта акта МСЭ. ИПАР разрабатывается на срок установленной инвалидности с указанием сроков реализации отдельных мероприятий. Важно! При изменении состояния здоровья или потребности в средствах реабилитации вопрос корректировки ИПАР решается в установленном порядке.</w:t>
        <w:br/>
      </w:r>
    </w:p>
    <w:p>
      <w:pPr>
        <w:jc w:val="left"/>
      </w:pPr>
      <w:r>
        <w:rPr>
          <w:b w:val="on"/>
          <w:i w:val="on"/>
          <w:sz w:val="24"/>
        </w:rPr>
        <w:t>Услуги</w:t>
        <w:br/>
      </w:r>
    </w:p>
    <w:p>
      <w:pPr>
        <w:jc w:val="left"/>
      </w:pPr>
      <w:r>
        <w:rPr>
          <w:b w:val="off"/>
          <w:i w:val="off"/>
          <w:sz w:val="24"/>
        </w:rPr>
        <w:t>Установление инвалидности и/или степени утраты трудоспособности и/или определение необходимых мер социальной защиты</w:t>
        <w:br/>
      </w:r>
    </w:p>
    <w:p>
      <w:pPr>
        <w:jc w:val="left"/>
      </w:pPr>
      <w:r>
        <w:rPr>
          <w:b w:val="on"/>
          <w:i w:val="on"/>
          <w:sz w:val="24"/>
        </w:rPr>
        <w:t>Справочная</w:t>
        <w:br/>
      </w:r>
    </w:p>
    <w:p>
      <w:pPr>
        <w:jc w:val="left"/>
      </w:pPr>
      <w:r>
        <w:rPr>
          <w:sz w:val="24"/>
        </w:rPr>
        <w:t xml:space="preserve"> </w:t>
      </w:r>
      <w:hyperlink r:id="rId3">
        <w:r>
          <w:t>Кодекс Республики Казахстан от 20 апреля 2023 года № 224-VII ЗРК «Социальный кодекс Республики Казахстан»</w:t>
          <w:br/>
        </w:r>
      </w:hyperlink>
    </w:p>
    <w:p>
      <w:pPr>
        <w:jc w:val="left"/>
      </w:pPr>
      <w:r>
        <w:rPr>
          <w:sz w:val="24"/>
        </w:rPr>
        <w:t xml:space="preserve"> </w:t>
      </w:r>
      <w:hyperlink r:id="rId4">
        <w:r>
          <w:t>«Об утверждении Правил проведения медико-социальной экспертизы»</w:t>
          <w:br/>
        </w:r>
      </w:hyperlink>
    </w:p>
    <w:p>
      <w:pPr>
        <w:pBdr>
          <w:bottom w:val="thick"/>
        </w:pBdr>
      </w:pPr>
    </w:p>
    <w:p>
      <w:r>
        <w:br/>
      </w:r>
    </w:p>
    <w:p>
      <w:pPr>
        <w:jc w:val="left"/>
      </w:pPr>
      <w:r>
        <w:rPr>
          <w:b w:val="on"/>
          <w:i w:val="off"/>
          <w:sz w:val="28"/>
        </w:rPr>
        <w:t>3. Из чего состоит ИПАР</w:t>
        <w:br/>
      </w:r>
    </w:p>
    <w:p>
      <w:pPr>
        <w:jc w:val="left"/>
      </w:pPr>
      <w:r>
        <w:rPr>
          <w:b w:val="on"/>
          <w:i w:val="on"/>
          <w:sz w:val="24"/>
        </w:rPr>
        <w:t>Инструкция</w:t>
        <w:br/>
      </w:r>
    </w:p>
    <w:p>
      <w:pPr>
        <w:jc w:val="left"/>
      </w:pPr>
      <w:r>
        <w:rPr>
          <w:b w:val="off"/>
          <w:i w:val="off"/>
          <w:sz w:val="24"/>
        </w:rPr>
        <w:t>Реабилитация лиц с инвалидностью включает комплекс медицинских, социальных и профессиональных мероприятий, направленных на устранение или возможно полную компенсацию ограничений жизнедеятельности, вызванных нарушением здоровья со стойким расстройством функций организма. ИПАР состоит из: медицинской части ИПАР; социальной части ИПАР; профессиональной части ИПАР.</w:t>
        <w:br/>
      </w:r>
    </w:p>
    <w:p>
      <w:pPr>
        <w:jc w:val="left"/>
      </w:pPr>
      <w:r>
        <w:rPr>
          <w:b w:val="on"/>
          <w:i w:val="on"/>
          <w:sz w:val="24"/>
        </w:rPr>
        <w:t>Справочная</w:t>
        <w:br/>
      </w:r>
    </w:p>
    <w:p>
      <w:pPr>
        <w:jc w:val="left"/>
      </w:pPr>
      <w:r>
        <w:rPr>
          <w:sz w:val="24"/>
        </w:rPr>
        <w:t xml:space="preserve"> </w:t>
      </w:r>
      <w:hyperlink r:id="rId5">
        <w:r>
          <w:t>Кодекс Республики Казахстан от 20 апреля 2023 года № 224-VII ЗРК «Социальный кодекс Республики Казахстан»</w:t>
          <w:br/>
        </w:r>
      </w:hyperlink>
    </w:p>
    <w:p>
      <w:pPr>
        <w:jc w:val="left"/>
      </w:pPr>
      <w:r>
        <w:rPr>
          <w:sz w:val="24"/>
        </w:rPr>
        <w:t xml:space="preserve"> </w:t>
      </w:r>
      <w:hyperlink r:id="rId6">
        <w:r>
          <w:t>Об утверждении Правил проведения медико-социальной экспертизы</w:t>
          <w:br/>
        </w:r>
      </w:hyperlink>
    </w:p>
    <w:p>
      <w:pPr>
        <w:pBdr>
          <w:bottom w:val="thick"/>
        </w:pBdr>
      </w:pPr>
    </w:p>
    <w:p>
      <w:r>
        <w:br/>
      </w:r>
    </w:p>
    <w:p>
      <w:pPr>
        <w:jc w:val="left"/>
      </w:pPr>
      <w:r>
        <w:rPr>
          <w:b w:val="on"/>
          <w:i w:val="off"/>
          <w:sz w:val="28"/>
        </w:rPr>
        <w:t>4. Что включает медицинская реабилитация</w:t>
        <w:br/>
      </w:r>
    </w:p>
    <w:p>
      <w:pPr>
        <w:jc w:val="left"/>
      </w:pPr>
      <w:r>
        <w:rPr>
          <w:b w:val="on"/>
          <w:i w:val="on"/>
          <w:sz w:val="24"/>
        </w:rPr>
        <w:t>Инструкция</w:t>
        <w:br/>
      </w:r>
    </w:p>
    <w:p>
      <w:pPr>
        <w:jc w:val="left"/>
      </w:pPr>
      <w:r>
        <w:rPr>
          <w:b w:val="off"/>
          <w:i w:val="off"/>
          <w:sz w:val="24"/>
        </w:rPr>
        <w:t>Медицинская реабилитация направлена на восстановление или компенсацию нарушенных функций организма и повышение самостоятельности человека. Медицинская часть ИПАР разрабатывается медицинской организацией с участием мультидисциплинарной группы в соответствии с действующими правилами медицинской реабилитации и клиническими протоколами. Медицинская реабилитация может включать: восстановительное лечение; мероприятия по улучшению или компенсации нарушенных функций организма; медицинские реабилитационные процедуры; другие мероприятия по медицинским показаниям. Медицинские организации вносят сведения о проведённых мероприятиях в соответствующие цифровые системы здравоохранения. Оценку эффективности медицинской реабилитации проводят уполномоченные специалисты медицинской организации, включая мультидисциплинарную группу и врачебно-консультативную комиссию. Важно! Медицинская реабилитация проводится в организациях здравоохранения. Портал социальных услуг не заменяет медицинскую организацию и не предназначен для получения всех видов медицинской реабилитации.</w:t>
        <w:br/>
      </w:r>
    </w:p>
    <w:p>
      <w:pPr>
        <w:jc w:val="left"/>
      </w:pPr>
      <w:r>
        <w:rPr>
          <w:b w:val="on"/>
          <w:i w:val="on"/>
          <w:sz w:val="24"/>
        </w:rPr>
        <w:t>Услуги</w:t>
        <w:br/>
      </w:r>
    </w:p>
    <w:p>
      <w:pPr>
        <w:jc w:val="left"/>
      </w:pPr>
      <w:r>
        <w:rPr>
          <w:b w:val="off"/>
          <w:i w:val="off"/>
          <w:sz w:val="24"/>
        </w:rPr>
        <w:t>Оформление документов на обеспечение лиц с инвалидностью и детей с инвалидностью санаторно-курортным лечением</w:t>
        <w:br/>
      </w:r>
    </w:p>
    <w:p>
      <w:pPr>
        <w:jc w:val="left"/>
      </w:pPr>
      <w:r>
        <w:rPr>
          <w:b w:val="off"/>
          <w:i w:val="off"/>
          <w:sz w:val="24"/>
        </w:rPr>
        <w:t>Оформление документов на обеспечение лиц с инвалидностью протезно-ортопедической помощью</w:t>
        <w:br/>
      </w:r>
    </w:p>
    <w:p>
      <w:pPr>
        <w:jc w:val="left"/>
      </w:pPr>
      <w:r>
        <w:rPr>
          <w:b w:val="off"/>
          <w:i w:val="off"/>
          <w:sz w:val="24"/>
        </w:rPr>
        <w:t>Оформление документов на обеспечение лиц с инвалидностью техническими-вспомогательными (компенсаторными) средствами</w:t>
        <w:br/>
      </w:r>
    </w:p>
    <w:p>
      <w:pPr>
        <w:jc w:val="left"/>
      </w:pPr>
      <w:r>
        <w:rPr>
          <w:b w:val="on"/>
          <w:i w:val="on"/>
          <w:sz w:val="24"/>
        </w:rPr>
        <w:t>Справочная</w:t>
        <w:br/>
      </w:r>
    </w:p>
    <w:p>
      <w:pPr>
        <w:jc w:val="left"/>
      </w:pPr>
      <w:r>
        <w:rPr>
          <w:sz w:val="24"/>
        </w:rPr>
        <w:t xml:space="preserve"> </w:t>
      </w:r>
      <w:hyperlink r:id="rId7">
        <w:r>
          <w:t>Кодекс Республики Казахстан от 20 апреля 2023 года № 224-VII ЗРК «Социальный кодекс Республики Казахстан»</w:t>
          <w:br/>
        </w:r>
      </w:hyperlink>
    </w:p>
    <w:p>
      <w:pPr>
        <w:jc w:val="left"/>
      </w:pPr>
      <w:r>
        <w:rPr>
          <w:sz w:val="24"/>
        </w:rPr>
        <w:t xml:space="preserve"> </w:t>
      </w:r>
      <w:hyperlink r:id="rId8">
        <w:r>
          <w:t>Об утверждении Правил оказания медицинской реабилитации № ҚР ДСМ-116/2020</w:t>
          <w:br/>
        </w:r>
      </w:hyperlink>
    </w:p>
    <w:p>
      <w:pPr>
        <w:pBdr>
          <w:bottom w:val="thick"/>
        </w:pBdr>
      </w:pPr>
    </w:p>
    <w:p>
      <w:r>
        <w:br/>
      </w:r>
    </w:p>
    <w:p>
      <w:pPr>
        <w:jc w:val="left"/>
      </w:pPr>
      <w:r>
        <w:rPr>
          <w:b w:val="on"/>
          <w:i w:val="off"/>
          <w:sz w:val="28"/>
        </w:rPr>
        <w:t>5. Что включает социальная реабилитация</w:t>
        <w:br/>
      </w:r>
    </w:p>
    <w:p>
      <w:pPr>
        <w:jc w:val="left"/>
      </w:pPr>
      <w:r>
        <w:rPr>
          <w:b w:val="on"/>
          <w:i w:val="on"/>
          <w:sz w:val="24"/>
        </w:rPr>
        <w:t>Инструкция</w:t>
        <w:br/>
      </w:r>
    </w:p>
    <w:p>
      <w:pPr>
        <w:jc w:val="left"/>
      </w:pPr>
      <w:r>
        <w:rPr>
          <w:b w:val="off"/>
          <w:i w:val="off"/>
          <w:sz w:val="24"/>
        </w:rPr>
        <w:t>Социальная реабилитация направлена на создание условий для самостоятельной жизни, передвижения, общения и участия лица с инвалидностью в общественной жизни. В зависимости от ИПАР социальная реабилитация может включать: протезно-ортопедическую помощь; обеспечение сурдотехническими и тифлотехническими средствами; обязательные гигиенические средства; специальные средства передвижения; услуги индивидуального помощника; услуги специалиста жестового языка; санаторно-курортное лечение; специальные социальные услуги. Как реализуются мероприятия через цифровые системы? Соответствующее мероприятие предусматривается в ИПАР. Заявление на получение средства или услуги регистрируется в установленном порядке. Сведения об ИПАР и соответствующем мероприятии обрабатываются в АЦС «Е-Собес». Для мероприятий, реализуемых через Портал социальных услуг, данные передаются на портал. Получатель выбирает товар или поставщика услуги в установленном порядке. Сведения о выполнении мероприятия передаются с портала в АЦС «Е-Собес». Сколько времени предоставляется для выбора поставщика? Согласно Правилам использования Портала социальных услуг выбор поставщика осуществляется в течение двух месяцев со дня уведомления о направлении мероприятия ИПАР на портал. Если выбор не сделан в установленный срок, возможность выбора блокируется. Для её возобновления предусмотрена функция активации выбора поставщика в личном кабинете портала с последующей передачей сведений в АЦС «Е-Собес». Важно! Для отдельных средств и услуг действуют специальные правила оформления, предоставления и оплаты. Наличие мероприятия в ИПАР не отменяет необходимости соблюдения соответствующего порядка.</w:t>
        <w:br/>
      </w:r>
    </w:p>
    <w:p>
      <w:pPr>
        <w:jc w:val="left"/>
      </w:pPr>
      <w:r>
        <w:rPr>
          <w:b w:val="on"/>
          <w:i w:val="on"/>
          <w:sz w:val="24"/>
        </w:rPr>
        <w:t>Услуги</w:t>
        <w:br/>
      </w:r>
    </w:p>
    <w:p>
      <w:pPr>
        <w:jc w:val="left"/>
      </w:pPr>
      <w:r>
        <w:rPr>
          <w:b w:val="off"/>
          <w:i w:val="off"/>
          <w:sz w:val="24"/>
        </w:rPr>
        <w:t>Оформление документов на оказание специальных социальных услуг в медико-социальных учреждениях (организациях)</w:t>
        <w:br/>
      </w:r>
    </w:p>
    <w:p>
      <w:pPr>
        <w:jc w:val="left"/>
      </w:pPr>
      <w:r>
        <w:rPr>
          <w:b w:val="off"/>
          <w:i w:val="off"/>
          <w:sz w:val="24"/>
        </w:rPr>
        <w:t>Оформление документов на оказание специальных социальных услуг в условиях ухода на дому</w:t>
        <w:br/>
      </w:r>
    </w:p>
    <w:p>
      <w:pPr>
        <w:jc w:val="left"/>
      </w:pPr>
      <w:r>
        <w:rPr>
          <w:b w:val="off"/>
          <w:i w:val="off"/>
          <w:sz w:val="24"/>
        </w:rPr>
        <w:t>Оформление документов на обеспечение лиц с инвалидностью специальными средствами передвижения</w:t>
        <w:br/>
      </w:r>
    </w:p>
    <w:p>
      <w:pPr>
        <w:jc w:val="left"/>
      </w:pPr>
      <w:r>
        <w:rPr>
          <w:b w:val="off"/>
          <w:i w:val="off"/>
          <w:sz w:val="24"/>
        </w:rPr>
        <w:t>Оформление документов на обеспечение услугами индивидуального помощника лиц с инвалидностью первой группы, имеющих затруднение в передвижении</w:t>
        <w:br/>
      </w:r>
    </w:p>
    <w:p>
      <w:pPr>
        <w:jc w:val="left"/>
      </w:pPr>
      <w:r>
        <w:rPr>
          <w:b w:val="on"/>
          <w:i w:val="on"/>
          <w:sz w:val="24"/>
        </w:rPr>
        <w:t>Справочная</w:t>
        <w:br/>
      </w:r>
    </w:p>
    <w:p>
      <w:pPr>
        <w:jc w:val="left"/>
      </w:pPr>
      <w:r>
        <w:rPr>
          <w:sz w:val="24"/>
        </w:rPr>
        <w:t xml:space="preserve"> </w:t>
      </w:r>
      <w:hyperlink r:id="rId9">
        <w:r>
          <w:t>Кодекс Республики Казахстан от 20 апреля 2023 года № 224-VII ЗРК «Социальный кодекс Республики Казахстан»</w:t>
          <w:br/>
        </w:r>
      </w:hyperlink>
    </w:p>
    <w:p>
      <w:pPr>
        <w:jc w:val="left"/>
      </w:pPr>
      <w:r>
        <w:rPr>
          <w:sz w:val="24"/>
        </w:rPr>
        <w:t xml:space="preserve"> </w:t>
      </w:r>
      <w:hyperlink r:id="rId10">
        <w:r>
          <w:t>Об утверждении Правил проведения медико-социальной экспертизы</w:t>
          <w:br/>
        </w:r>
      </w:hyperlink>
    </w:p>
    <w:p>
      <w:pPr>
        <w:jc w:val="left"/>
      </w:pPr>
      <w:r>
        <w:rPr>
          <w:sz w:val="24"/>
        </w:rPr>
        <w:t xml:space="preserve"> </w:t>
      </w:r>
      <w:hyperlink r:id="rId11">
        <w:r>
          <w:t>Об утверждении Правил предоставления санаторно-курортного лечения лицам с инвалидностью и детям с инвалидностью в соответствии с индивидуальной программой абилитации и реабилитации лица с инвалидностью</w:t>
          <w:br/>
        </w:r>
      </w:hyperlink>
    </w:p>
    <w:p>
      <w:pPr>
        <w:jc w:val="left"/>
      </w:pPr>
      <w:r>
        <w:rPr>
          <w:sz w:val="24"/>
        </w:rPr>
        <w:t xml:space="preserve"> </w:t>
      </w:r>
      <w:hyperlink r:id="rId12">
        <w:r>
          <w:t>Об утверждении Правил предоставления услуг специалиста жестового языка для лиц с инвалидностью по слуху в соответствии с индивидуальной программой абилитации и реабилитации лица с инвалидностью</w:t>
          <w:br/>
        </w:r>
      </w:hyperlink>
    </w:p>
    <w:p>
      <w:pPr>
        <w:jc w:val="left"/>
      </w:pPr>
      <w:r>
        <w:rPr>
          <w:sz w:val="24"/>
        </w:rPr>
        <w:t xml:space="preserve"> </w:t>
      </w:r>
      <w:hyperlink r:id="rId13">
        <w:r>
          <w:t>Об утверждении Правил обеспечения лиц с инвалидностью протезно-ортопедической помощью, техническими вспомогательными (компенсаторными) средствами, специальными средствами передвижения в соответствии с индивидуальной программой абилитации и реабилитации лица с инвалидностью, включая сроки их замены</w:t>
          <w:br/>
        </w:r>
      </w:hyperlink>
    </w:p>
    <w:p>
      <w:pPr>
        <w:jc w:val="left"/>
      </w:pPr>
      <w:r>
        <w:rPr>
          <w:sz w:val="24"/>
        </w:rPr>
        <w:t xml:space="preserve"> </w:t>
      </w:r>
      <w:hyperlink r:id="rId14">
        <w:r>
          <w:t>Об утверждении Правил предоставления услуг индивидуального помощника для лиц с инвалидностью первой группы, имеющих затруднение в передвижении, в соответствии с индивидуальной программой абилитации и реабилитации лица с инвалидностью</w:t>
          <w:br/>
        </w:r>
      </w:hyperlink>
    </w:p>
    <w:p>
      <w:pPr>
        <w:pBdr>
          <w:bottom w:val="thick"/>
        </w:pBdr>
      </w:pPr>
    </w:p>
    <w:p>
      <w:r>
        <w:br/>
      </w:r>
    </w:p>
    <w:p>
      <w:pPr>
        <w:jc w:val="left"/>
      </w:pPr>
      <w:r>
        <w:rPr>
          <w:b w:val="on"/>
          <w:i w:val="off"/>
          <w:sz w:val="28"/>
        </w:rPr>
        <w:t>6. Что включает профессиональная реабилитация</w:t>
        <w:br/>
      </w:r>
    </w:p>
    <w:p>
      <w:pPr>
        <w:jc w:val="left"/>
      </w:pPr>
      <w:r>
        <w:rPr>
          <w:b w:val="on"/>
          <w:i w:val="on"/>
          <w:sz w:val="24"/>
        </w:rPr>
        <w:t>Инструкция</w:t>
        <w:br/>
      </w:r>
    </w:p>
    <w:p>
      <w:pPr>
        <w:jc w:val="left"/>
      </w:pPr>
      <w:r>
        <w:rPr>
          <w:b w:val="off"/>
          <w:i w:val="off"/>
          <w:sz w:val="24"/>
        </w:rPr>
        <w:t>Профессиональная реабилитация направлена на содействие лицам с инвалидностью в получении профессиональных навыков и трудоустройстве с учётом их возможностей и потребностей. Она может включать: профессиональную ориентацию; профессиональное обучение; переобучение и повышение квалификации; содействие в трудоустройстве; мероприятия по адаптации условий труда. Профессиональная реабилитация проводится с участием уполномоченных органов в сфере занятости и социальной защиты населения, организаций образования и работодателей в соответствии с законодательством Республики Казахстан. Мероприятия профессиональной реабилитации определяются индивидуально и отражаются в соответствующей части ИПАР.</w:t>
        <w:br/>
      </w:r>
    </w:p>
    <w:p>
      <w:pPr>
        <w:jc w:val="left"/>
      </w:pPr>
      <w:r>
        <w:rPr>
          <w:b w:val="on"/>
          <w:i w:val="on"/>
          <w:sz w:val="24"/>
        </w:rPr>
        <w:t>Справочная</w:t>
        <w:br/>
      </w:r>
    </w:p>
    <w:p>
      <w:pPr>
        <w:jc w:val="left"/>
      </w:pPr>
      <w:r>
        <w:rPr>
          <w:sz w:val="24"/>
        </w:rPr>
        <w:t xml:space="preserve"> </w:t>
      </w:r>
      <w:hyperlink r:id="rId15">
        <w:r>
          <w:t>Кодекс Республики Казахстан от 20 апреля 2023 года № 224-VII ЗРК «Социальный кодекс Республики Казахстан»</w:t>
          <w:br/>
        </w:r>
      </w:hyperlink>
    </w:p>
    <w:p>
      <w:pPr>
        <w:pBdr>
          <w:bottom w:val="thick"/>
        </w:pBdr>
      </w:pPr>
    </w:p>
    <w:p>
      <w:r>
        <w:br/>
      </w:r>
    </w:p>
    <w:p>
      <w:pPr>
        <w:jc w:val="left"/>
      </w:pPr>
      <w:r>
        <w:rPr>
          <w:b w:val="on"/>
          <w:i w:val="off"/>
          <w:sz w:val="28"/>
        </w:rPr>
        <w:t>7. Кто проводит мониторинг за реализацией ИПАР</w:t>
        <w:br/>
      </w:r>
    </w:p>
    <w:p>
      <w:pPr>
        <w:jc w:val="left"/>
      </w:pPr>
      <w:r>
        <w:rPr>
          <w:b w:val="on"/>
          <w:i w:val="on"/>
          <w:sz w:val="24"/>
        </w:rPr>
        <w:t>Инструкция</w:t>
        <w:br/>
      </w:r>
    </w:p>
    <w:p>
      <w:pPr>
        <w:jc w:val="left"/>
      </w:pPr>
      <w:r>
        <w:rPr>
          <w:b w:val="off"/>
          <w:i w:val="off"/>
          <w:sz w:val="24"/>
        </w:rPr>
        <w:t>При проведении реабилитационных мероприятий обеспечиваются индивидуальность, последовательность, комплексность, преемственность и непрерывность осуществления реабилитационных мероприятий, динамическое наблюдение и контроль за эффективностью проведенных реабилитационных мероприятий. Мультидисциплинарная группа, ВКК медицинской организации проводят оценку эффективности проведенных комплексных реабилитационных мероприятий медицинской части ИПАР. Медицинская реабилитация проводится в медицинских организациях. Социальную и профессиональную реабилитацию проводят организации системы социальной защиты населения, а также работодатели при трудовом увечье и/или профессиональном заболевании. Территориальным подразделением Комитета осуществляется контроль за реализацией ИПАР и оценка эффективности мероприятий по ИПАР при очередном освидетельствовании лица с инвалидностью.</w:t>
        <w:br/>
      </w:r>
    </w:p>
    <w:p>
      <w:pPr>
        <w:jc w:val="left"/>
      </w:pPr>
      <w:r>
        <w:rPr>
          <w:b w:val="on"/>
          <w:i w:val="on"/>
          <w:sz w:val="24"/>
        </w:rPr>
        <w:t>Справочная</w:t>
        <w:br/>
      </w:r>
    </w:p>
    <w:p>
      <w:pPr>
        <w:jc w:val="left"/>
      </w:pPr>
      <w:r>
        <w:rPr>
          <w:sz w:val="24"/>
        </w:rPr>
        <w:t xml:space="preserve"> </w:t>
      </w:r>
      <w:hyperlink r:id="rId16">
        <w:r>
          <w:t>Кодекс Республики Казахстан от 20 апреля 2023 года № 224-VII ЗРК «Социальный кодекс Республики Казахстан»</w:t>
          <w:br/>
        </w:r>
      </w:hyperlink>
    </w:p>
    <w:p>
      <w:pPr>
        <w:pBdr>
          <w:bottom w:val="thick"/>
        </w:pBdr>
      </w:pPr>
    </w:p>
    <w:p>
      <w:r>
        <w:br/>
      </w:r>
    </w:p>
  </w:body>
</w:document>
</file>

<file path=word/settings.xml><?xml version="1.0" encoding="utf-8"?>
<w:settings xmlns:w="http://schemas.openxmlformats.org/wordprocessingml/2006/main"/>
</file>

<file path=word/_rels/document.xml.rels><?xml version="1.0" encoding="UTF-8" standalone="no"?><Relationships xmlns="http://schemas.openxmlformats.org/package/2006/relationships"><Relationship Id="rId1" Target="settings.xml" Type="http://schemas.openxmlformats.org/officeDocument/2006/relationships/settings"/><Relationship Id="rId10" Target="https://adilet.zan.kz/rus/docs/V2300032922" TargetMode="External" Type="http://schemas.openxmlformats.org/officeDocument/2006/relationships/hyperlink"/><Relationship Id="rId11" Target="https://adilet.zan.kz/rus/docs/V2300032988" TargetMode="External" Type="http://schemas.openxmlformats.org/officeDocument/2006/relationships/hyperlink"/><Relationship Id="rId12" Target="https://adilet.zan.kz/rus/docs/V2300032992" TargetMode="External" Type="http://schemas.openxmlformats.org/officeDocument/2006/relationships/hyperlink"/><Relationship Id="rId13" Target="https://adilet.zan.kz/rus/docs/V2300032993" TargetMode="External" Type="http://schemas.openxmlformats.org/officeDocument/2006/relationships/hyperlink"/><Relationship Id="rId14" Target="https://adilet.zan.kz/rus/docs/V2300032994" TargetMode="External" Type="http://schemas.openxmlformats.org/officeDocument/2006/relationships/hyperlink"/><Relationship Id="rId15" Target="https://www.adilet.zan.kz/rus/docs/K2300000224" TargetMode="External" Type="http://schemas.openxmlformats.org/officeDocument/2006/relationships/hyperlink"/><Relationship Id="rId16" Target="https://www.gov.kz/legalacts/details/K2300000224?lang=ru" TargetMode="External" Type="http://schemas.openxmlformats.org/officeDocument/2006/relationships/hyperlink"/><Relationship Id="rId2" Target="https://www.adilet.zan.kz/rus/docs/K2300000224" TargetMode="External" Type="http://schemas.openxmlformats.org/officeDocument/2006/relationships/hyperlink"/><Relationship Id="rId3" Target="https://www.adilet.zan.kz/rus/docs/K2300000224" TargetMode="External" Type="http://schemas.openxmlformats.org/officeDocument/2006/relationships/hyperlink"/><Relationship Id="rId4" Target="https://www.adilet.zan.kz/rus/docs/V2300032922" TargetMode="External" Type="http://schemas.openxmlformats.org/officeDocument/2006/relationships/hyperlink"/><Relationship Id="rId5" Target="https://www.adilet.zan.kz/rus/docs/K2300000224" TargetMode="External" Type="http://schemas.openxmlformats.org/officeDocument/2006/relationships/hyperlink"/><Relationship Id="rId6" Target="https://adilet.zan.kz/rus/docs/V2300032922" TargetMode="External" Type="http://schemas.openxmlformats.org/officeDocument/2006/relationships/hyperlink"/><Relationship Id="rId7" Target="https://www.gov.kz/legalacts/details/K2300000224?lang=ru" TargetMode="External" Type="http://schemas.openxmlformats.org/officeDocument/2006/relationships/hyperlink"/><Relationship Id="rId8" Target="https://adilet.zan.kz/rus/docs/V2000021381" TargetMode="External" Type="http://schemas.openxmlformats.org/officeDocument/2006/relationships/hyperlink"/><Relationship Id="rId9" Target="https://www.adilet.zan.kz/rus/docs/K2300000224" TargetMode="External" Type="http://schemas.openxmlformats.org/officeDocument/2006/relationships/hyperlink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2026-11-01T08:16:40Z</dcterms:created>
  <dc:creator>Apache POI</dc:creator>
</cp:coreProperties>
</file>