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How to get housing assistance</w:t>
        <w:br/>
        <w:br/>
      </w:r>
    </w:p>
    <w:p>
      <w:pPr>
        <w:jc w:val="left"/>
      </w:pPr>
      <w:r>
        <w:rPr>
          <w:b w:val="on"/>
          <w:i w:val="off"/>
          <w:sz w:val="28"/>
        </w:rPr>
        <w:t>Introduction</w:t>
        <w:br/>
      </w:r>
    </w:p>
    <w:p>
      <w:pPr>
        <w:jc w:val="left"/>
      </w:pPr>
      <w:r>
        <w:rPr>
          <w:b w:val="off"/>
          <w:i w:val="off"/>
          <w:sz w:val="24"/>
        </w:rPr>
        <w:t>Families, citizens of Kazakhstan, who have a small income and spend a significant portion of it on utilities, are entitled to housing assistance from the state. You will learn how to get housing assistance, what documents to collect and what compensation to expect from this material.</w:t>
        <w:br/>
      </w:r>
    </w:p>
    <w:p>
      <w:pPr>
        <w:pBdr>
          <w:bottom w:val="thick"/>
        </w:pBdr>
      </w:pPr>
    </w:p>
    <w:p>
      <w:r>
        <w:br/>
      </w:r>
    </w:p>
    <w:p>
      <w:pPr>
        <w:jc w:val="left"/>
      </w:pPr>
      <w:r>
        <w:rPr>
          <w:b w:val="on"/>
          <w:i w:val="off"/>
          <w:sz w:val="28"/>
        </w:rPr>
        <w:t>1. What is "housing assistance"</w:t>
        <w:br/>
      </w:r>
    </w:p>
    <w:p>
      <w:pPr>
        <w:jc w:val="left"/>
      </w:pPr>
      <w:r>
        <w:rPr>
          <w:b w:val="on"/>
          <w:i w:val="on"/>
          <w:sz w:val="24"/>
        </w:rPr>
        <w:t>Instruction</w:t>
        <w:br/>
      </w:r>
    </w:p>
    <w:p>
      <w:pPr>
        <w:jc w:val="left"/>
      </w:pPr>
      <w:r>
        <w:rPr>
          <w:b w:val="off"/>
          <w:i w:val="off"/>
          <w:sz w:val="24"/>
        </w:rPr>
        <w:t>Housing assistance is defined as the difference between the amount of payment for the management of a condominium facility and the maintenance of the common property of the condominium facility, including major repairs of the common property of the condominium facility, the consumption of utilities and communication services in terms of increasing subscription fees for a telephone connected to a telecommunications network, the use of housing from the state housing stock and housing rented by a local the executive body in the private housing fund, and the maximum allowable level of expenses of the recipient for these purposes, established by local representative bodies (maslikhats) in the range from 5 to 10% of the total family income.</w:t>
        <w:br/>
      </w:r>
    </w:p>
    <w:p>
      <w:pPr>
        <w:jc w:val="left"/>
      </w:pPr>
      <w:r>
        <w:rPr>
          <w:b w:val="on"/>
          <w:i w:val="on"/>
          <w:sz w:val="24"/>
        </w:rPr>
        <w:t>Reference Information</w:t>
        <w:br/>
      </w:r>
    </w:p>
    <w:p>
      <w:pPr>
        <w:jc w:val="left"/>
      </w:pPr>
      <w:r>
        <w:rPr>
          <w:sz w:val="24"/>
        </w:rPr>
        <w:t xml:space="preserve"> </w:t>
      </w:r>
      <w:hyperlink r:id="rId2">
        <w:r>
          <w:t>Law of RK of April 16, 1997 "On Housing Relations".</w:t>
          <w:br/>
        </w:r>
      </w:hyperlink>
    </w:p>
    <w:p>
      <w:pPr>
        <w:jc w:val="left"/>
      </w:pPr>
      <w:r>
        <w:rPr>
          <w:sz w:val="24"/>
        </w:rPr>
        <w:t xml:space="preserve"> </w:t>
      </w:r>
      <w:hyperlink r:id="rId3">
        <w:r>
          <w:t>Об утверждении Правил предоставления жилищной помощи № 117</w:t>
          <w:br/>
        </w:r>
      </w:hyperlink>
    </w:p>
    <w:p>
      <w:pPr>
        <w:pBdr>
          <w:bottom w:val="thick"/>
        </w:pBdr>
      </w:pPr>
    </w:p>
    <w:p>
      <w:r>
        <w:br/>
      </w:r>
    </w:p>
    <w:p>
      <w:pPr>
        <w:jc w:val="left"/>
      </w:pPr>
      <w:r>
        <w:rPr>
          <w:b w:val="on"/>
          <w:i w:val="off"/>
          <w:sz w:val="28"/>
        </w:rPr>
        <w:t>2. Which family income is taken into account in determining the housing allowance</w:t>
        <w:br/>
      </w:r>
    </w:p>
    <w:p>
      <w:pPr>
        <w:jc w:val="left"/>
      </w:pPr>
      <w:r>
        <w:rPr>
          <w:b w:val="on"/>
          <w:i w:val="on"/>
          <w:sz w:val="24"/>
        </w:rPr>
        <w:t>Instruction</w:t>
        <w:br/>
      </w:r>
    </w:p>
    <w:p>
      <w:pPr>
        <w:jc w:val="left"/>
      </w:pPr>
      <w:r>
        <w:rPr>
          <w:b w:val="off"/>
          <w:i w:val="off"/>
          <w:sz w:val="24"/>
        </w:rPr>
        <w:t>Any funds received from any source - salaries, pensions, alimony, allowances and income from personal subsidiary or dacha plots - are counted as income. The exceptions are private cases and lump-sum allowances for funeral, birth-related and financial and material assistance to low-income students. The income of all family members is recorded for the quarter preceding the quarter in which they apply for housing assistance.</w:t>
        <w:br/>
      </w:r>
    </w:p>
    <w:p>
      <w:pPr>
        <w:jc w:val="left"/>
      </w:pPr>
      <w:r>
        <w:rPr>
          <w:b w:val="on"/>
          <w:i w:val="on"/>
          <w:sz w:val="24"/>
        </w:rPr>
        <w:t>Reference Information</w:t>
        <w:br/>
      </w:r>
    </w:p>
    <w:p>
      <w:pPr>
        <w:jc w:val="left"/>
      </w:pPr>
      <w:r>
        <w:rPr>
          <w:sz w:val="24"/>
        </w:rPr>
        <w:t xml:space="preserve"> </w:t>
      </w:r>
      <w:hyperlink r:id="rId4">
        <w:r>
          <w:t>Law of RK of April 16, 1997 "On Housing Relations".</w:t>
          <w:br/>
        </w:r>
      </w:hyperlink>
    </w:p>
    <w:p>
      <w:pPr>
        <w:pBdr>
          <w:bottom w:val="thick"/>
        </w:pBdr>
      </w:pPr>
    </w:p>
    <w:p>
      <w:r>
        <w:br/>
      </w:r>
    </w:p>
    <w:p>
      <w:pPr>
        <w:jc w:val="left"/>
      </w:pPr>
      <w:r>
        <w:rPr>
          <w:b w:val="on"/>
          <w:i w:val="off"/>
          <w:sz w:val="28"/>
        </w:rPr>
        <w:t>3. Which utilities can be compensated for</w:t>
        <w:br/>
      </w:r>
    </w:p>
    <w:p>
      <w:pPr>
        <w:jc w:val="left"/>
      </w:pPr>
      <w:r>
        <w:rPr>
          <w:b w:val="on"/>
          <w:i w:val="on"/>
          <w:sz w:val="24"/>
        </w:rPr>
        <w:t>Instruction</w:t>
        <w:br/>
      </w:r>
    </w:p>
    <w:p>
      <w:pPr>
        <w:jc w:val="left"/>
      </w:pPr>
      <w:r>
        <w:rPr>
          <w:b w:val="off"/>
          <w:i w:val="off"/>
          <w:sz w:val="24"/>
        </w:rPr>
        <w:t>Everything included in the concept of "utility services" is taken into account for compensation. This invcludes: water supply, sewer, gas supply, power supply, heat supply, garbage disposal, elevator maintenance. It also includes monthly contributions to the AOC and targeted house maintenance fees paid. The difference between the current subscription fee and the fee for a landline phone is also paid. Families living in a private home and using central heating can count on housing assistance. The state does not pay for Internet, mobile communication, video surveillance or intercom services. Housing assistance is compensation for the cost of current utilities. The aid does not apply to arrears of payment.</w:t>
        <w:br/>
      </w:r>
    </w:p>
    <w:p>
      <w:pPr>
        <w:pBdr>
          <w:bottom w:val="thick"/>
        </w:pBdr>
      </w:pPr>
    </w:p>
    <w:p>
      <w:r>
        <w:br/>
      </w:r>
    </w:p>
    <w:p>
      <w:pPr>
        <w:jc w:val="left"/>
      </w:pPr>
      <w:r>
        <w:rPr>
          <w:b w:val="on"/>
          <w:i w:val="off"/>
          <w:sz w:val="28"/>
        </w:rPr>
        <w:t>4. Who will be denied housing assistance</w:t>
        <w:br/>
      </w:r>
    </w:p>
    <w:p>
      <w:pPr>
        <w:jc w:val="left"/>
      </w:pPr>
      <w:r>
        <w:rPr>
          <w:b w:val="on"/>
          <w:i w:val="on"/>
          <w:sz w:val="24"/>
        </w:rPr>
        <w:t>Instruction</w:t>
        <w:br/>
      </w:r>
    </w:p>
    <w:p>
      <w:pPr>
        <w:jc w:val="left"/>
      </w:pPr>
      <w:r>
        <w:rPr>
          <w:b w:val="off"/>
          <w:i w:val="off"/>
          <w:sz w:val="24"/>
        </w:rPr>
        <w:t>Housing assistance for utilities is not provided for the following reasons: 1) the presence of more than one housing unit; 2) incomplete set of documents; 3) lack of registered housing rights; 4) no registration at the place of residence of the owner; 5) no registration at the place of residence of family members; 6) excess income; 7) not reliable data.</w:t>
        <w:br/>
      </w:r>
    </w:p>
    <w:p>
      <w:pPr>
        <w:pBdr>
          <w:bottom w:val="thick"/>
        </w:pBdr>
      </w:pPr>
    </w:p>
    <w:p>
      <w:r>
        <w:br/>
      </w:r>
    </w:p>
    <w:p>
      <w:pPr>
        <w:jc w:val="left"/>
      </w:pPr>
      <w:r>
        <w:rPr>
          <w:b w:val="on"/>
          <w:i w:val="off"/>
          <w:sz w:val="28"/>
        </w:rPr>
        <w:t>5. How the housing allowance is calculated</w:t>
        <w:br/>
      </w:r>
    </w:p>
    <w:p>
      <w:pPr>
        <w:jc w:val="left"/>
      </w:pPr>
      <w:r>
        <w:rPr>
          <w:b w:val="on"/>
          <w:i w:val="on"/>
          <w:sz w:val="24"/>
        </w:rPr>
        <w:t>Instruction</w:t>
        <w:br/>
      </w:r>
    </w:p>
    <w:p>
      <w:pPr>
        <w:jc w:val="left"/>
      </w:pPr>
      <w:r>
        <w:rPr>
          <w:b w:val="off"/>
          <w:i w:val="off"/>
          <w:sz w:val="24"/>
        </w:rPr>
        <w:t>Expenses for maintaining housing and consuming utility services are reimbursed within the limits of the social norms established in the region (the norms for utility service consumption per person). Compensation is not provided for the entire amount of utility bills, but for the difference between the amount of actual expenses (within the social norms) and the maximum permissible level of family expenses established by the local maslikhat. Important: Unlike the previous rules, there is no longer a single fixed rate of 10%. The maximum permissible level of expenses for utility services for the service recipient is established by local representative bodies (maslikhats) individually for each region, within the range of 5% to 10% of the family’s total combined income. Example of calculating the amount of housing assistance: Total family income: the total income of all family members for the quarter preceding the month of application is calculated. Share of expenses: The percentage established by your local maslikhat is calculated based on the total quarterly income (for example, if the limit in your region is 5%, 7%, or 10%). Standard calculation: A specialist from the employment and social programs department performs an automated calculation for utility services, taking into account the social consumption norms approved in the region. Amount to be paid: The maximum permissible level of family expenses is subtracted from the amount of standard utility expenses. The resulting difference is paid by the state as housing assistance.</w:t>
        <w:br/>
      </w:r>
    </w:p>
    <w:p>
      <w:pPr>
        <w:jc w:val="left"/>
      </w:pPr>
      <w:r>
        <w:rPr>
          <w:b w:val="on"/>
          <w:i w:val="on"/>
          <w:sz w:val="24"/>
        </w:rPr>
        <w:t>Reference Information</w:t>
        <w:br/>
      </w:r>
    </w:p>
    <w:p>
      <w:pPr>
        <w:jc w:val="left"/>
      </w:pPr>
      <w:r>
        <w:rPr>
          <w:sz w:val="24"/>
        </w:rPr>
        <w:t xml:space="preserve"> </w:t>
      </w:r>
      <w:hyperlink r:id="rId5">
        <w:r>
          <w:t>On the Approval of the Rules for Providing Housing Assistance No. 117</w:t>
          <w:br/>
        </w:r>
      </w:hyperlink>
    </w:p>
    <w:p>
      <w:pPr>
        <w:pBdr>
          <w:bottom w:val="thick"/>
        </w:pBdr>
      </w:pPr>
    </w:p>
    <w:p>
      <w:r>
        <w:br/>
      </w:r>
    </w:p>
    <w:p>
      <w:pPr>
        <w:jc w:val="left"/>
      </w:pPr>
      <w:r>
        <w:rPr>
          <w:b w:val="on"/>
          <w:i w:val="off"/>
          <w:sz w:val="28"/>
        </w:rPr>
        <w:t>6. How to get housing assistance online</w:t>
        <w:br/>
      </w:r>
    </w:p>
    <w:p>
      <w:pPr>
        <w:jc w:val="left"/>
      </w:pPr>
      <w:r>
        <w:rPr>
          <w:b w:val="on"/>
          <w:i w:val="on"/>
          <w:sz w:val="24"/>
        </w:rPr>
        <w:t>Instruction</w:t>
        <w:br/>
      </w:r>
    </w:p>
    <w:p>
      <w:pPr>
        <w:jc w:val="left"/>
      </w:pPr>
      <w:r>
        <w:rPr>
          <w:b w:val="off"/>
          <w:i w:val="off"/>
          <w:sz w:val="24"/>
        </w:rPr>
        <w:t>The application for housing assistance is submitted through the online service The electronic application has to be attached: invoices on the amount of monthly contributions for the maintenance of a residential building (residential building); utility bills; a receipt for telecommunications services or a copy of the contract for the provision of communication services; invoices on the amount of rent for the use of housing rented by a local executive body in a private housing fund, presented by a local the executive body. The notice of housing assistance assignment is sent to the "personal account" within 8 working days. Payment of housing assistance is made to accounts opened by recipients in second-tier banks.</w:t>
        <w:br/>
      </w:r>
    </w:p>
    <w:p>
      <w:pPr>
        <w:jc w:val="left"/>
      </w:pPr>
      <w:r>
        <w:rPr>
          <w:b w:val="on"/>
          <w:i w:val="on"/>
          <w:sz w:val="24"/>
        </w:rPr>
        <w:t>Services</w:t>
        <w:br/>
      </w:r>
    </w:p>
    <w:p>
      <w:pPr>
        <w:jc w:val="left"/>
      </w:pPr>
      <w:r>
        <w:rPr>
          <w:b w:val="off"/>
          <w:i w:val="off"/>
          <w:sz w:val="24"/>
        </w:rPr>
        <w:t>Assignment of housing aid</w:t>
        <w:br/>
      </w:r>
    </w:p>
    <w:p>
      <w:pPr>
        <w:pBdr>
          <w:bottom w:val="thick"/>
        </w:pBdr>
      </w:pPr>
    </w:p>
    <w:p>
      <w:r>
        <w:br/>
      </w:r>
    </w:p>
    <w:p>
      <w:pPr>
        <w:jc w:val="left"/>
      </w:pPr>
      <w:r>
        <w:rPr>
          <w:b w:val="on"/>
          <w:i w:val="off"/>
          <w:sz w:val="28"/>
        </w:rPr>
        <w:t>7. How to get housing assistance through the CES</w:t>
        <w:br/>
      </w:r>
    </w:p>
    <w:p>
      <w:pPr>
        <w:jc w:val="left"/>
      </w:pPr>
      <w:r>
        <w:rPr>
          <w:b w:val="on"/>
          <w:i w:val="on"/>
          <w:sz w:val="24"/>
        </w:rPr>
        <w:t>Instruction</w:t>
        <w:br/>
      </w:r>
    </w:p>
    <w:p>
      <w:pPr>
        <w:jc w:val="left"/>
      </w:pPr>
      <w:r>
        <w:rPr>
          <w:b w:val="off"/>
          <w:i w:val="off"/>
          <w:sz w:val="24"/>
        </w:rPr>
        <w:t>In order to receive the notification on housing assistance appointment, it is necessary to come to the branch of NJSC SC "Government for Citizens" (PSC) and apply with the following documents: an identity card; a bank account; invoices on the amount of monthly contributions for the maintenance of a residential building (residential building); utility bills; a receipt-an invoice for telecommunications services or a copy of a contract for the provision of communication services; an invoice on the amount of rent for the use of housing rented by a local executive body in a private housing fund, presented by a local the executive body. For convenience, we recommend reserving a queue at PSC online. Term of service rendering Once the application is submitted to the PSC, the notice of housing assistance assignment is issued within 8 working days. Housing assistance is directed to accounts opened by recipients in second-tier banks.</w:t>
        <w:br/>
      </w:r>
    </w:p>
    <w:p>
      <w:pPr>
        <w:jc w:val="left"/>
      </w:pPr>
      <w:r>
        <w:rPr>
          <w:b w:val="on"/>
          <w:i w:val="on"/>
          <w:sz w:val="24"/>
        </w:rPr>
        <w:t>Services</w:t>
        <w:br/>
      </w:r>
    </w:p>
    <w:p>
      <w:pPr>
        <w:jc w:val="left"/>
      </w:pPr>
      <w:r>
        <w:rPr>
          <w:b w:val="off"/>
          <w:i w:val="off"/>
          <w:sz w:val="24"/>
        </w:rPr>
        <w:t>Booking a queue in CSC</w:t>
        <w:br/>
      </w:r>
    </w:p>
    <w:p>
      <w:pPr>
        <w:jc w:val="left"/>
      </w:pPr>
      <w:r>
        <w:rPr>
          <w:b w:val="on"/>
          <w:i w:val="on"/>
          <w:sz w:val="24"/>
        </w:rPr>
        <w:t>Reference Information</w:t>
        <w:br/>
      </w:r>
    </w:p>
    <w:p>
      <w:pPr>
        <w:jc w:val="left"/>
      </w:pPr>
      <w:r>
        <w:rPr>
          <w:sz w:val="24"/>
        </w:rPr>
        <w:t xml:space="preserve"> </w:t>
      </w:r>
      <w:hyperlink r:id="rId6">
        <w:r>
          <w:t>Contacts of PSC</w:t>
          <w:br/>
        </w:r>
      </w:hyperlink>
    </w:p>
    <w:p>
      <w:pPr>
        <w:pBdr>
          <w:bottom w:val="thick"/>
        </w:pBdr>
      </w:pPr>
    </w:p>
    <w:p>
      <w:r>
        <w:br/>
      </w:r>
    </w:p>
    <w:p>
      <w:pPr>
        <w:jc w:val="left"/>
      </w:pPr>
      <w:r>
        <w:rPr>
          <w:b w:val="on"/>
          <w:i w:val="off"/>
          <w:sz w:val="28"/>
        </w:rPr>
        <w:t>8. Responsibility for revenue information</w:t>
        <w:br/>
      </w:r>
    </w:p>
    <w:p>
      <w:pPr>
        <w:jc w:val="left"/>
      </w:pPr>
      <w:r>
        <w:rPr>
          <w:b w:val="on"/>
          <w:i w:val="on"/>
          <w:sz w:val="24"/>
        </w:rPr>
        <w:t>Instruction</w:t>
        <w:br/>
      </w:r>
    </w:p>
    <w:p>
      <w:pPr>
        <w:jc w:val="left"/>
      </w:pPr>
      <w:r>
        <w:rPr>
          <w:b w:val="off"/>
          <w:i w:val="off"/>
          <w:sz w:val="24"/>
        </w:rPr>
        <w:t>Applicants themselves are responsible for the information provided. If it turns out that the applicant concealed his income and received housing assistance without being entitled to it, all the amounts paid will be asked for a refund.</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Z970000094_" TargetMode="External" Type="http://schemas.openxmlformats.org/officeDocument/2006/relationships/hyperlink"/><Relationship Id="rId3" Target="https://www.adilet.zan.kz/rus/docs/V2300033763" TargetMode="External" Type="http://schemas.openxmlformats.org/officeDocument/2006/relationships/hyperlink"/><Relationship Id="rId4" Target="https://adilet.zan.kz/kaz/docs/Z970000094_" TargetMode="External" Type="http://schemas.openxmlformats.org/officeDocument/2006/relationships/hyperlink"/><Relationship Id="rId5" Target="https://www.adilet.zan.kz/rus/docs/V2300033763" TargetMode="External" Type="http://schemas.openxmlformats.org/officeDocument/2006/relationships/hyperlink"/><Relationship Id="rId6" Target="https://gov4c.kz/en/contacts/kontaktnaya-informatsiya/"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2026-10-31T21:01:38Z</dcterms:created>
  <dc:creator>Apache POI</dc:creator>
</cp:coreProperties>
</file>