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Автомобильді қалай қайта жабдықтауға болады (газ жабдығын орнату)</w:t>
        <w:br/>
        <w:br/>
      </w:r>
    </w:p>
    <w:p>
      <w:pPr>
        <w:jc w:val="left"/>
      </w:pPr>
      <w:r>
        <w:rPr>
          <w:b w:val="on"/>
          <w:i w:val="off"/>
          <w:sz w:val="28"/>
        </w:rPr>
        <w:t>Кіріспе</w:t>
        <w:br/>
      </w:r>
    </w:p>
    <w:p>
      <w:pPr>
        <w:jc w:val="left"/>
      </w:pPr>
      <w:r>
        <w:rPr>
          <w:b w:val="off"/>
          <w:i w:val="off"/>
          <w:sz w:val="24"/>
        </w:rPr>
        <w:t>Автокөлікті қайта жабдықтау, оның ішінде газбаллон жабдығын (ГБЖ) орнату көлік құралының конструкциясына өзгерістер енгізуге жатады және қауіпсіздік талаптарына сәйкес келуге тиіс. Көлік құралының конструкциясына өзгерістер енгізу тәртібі Кеден одағының «Доңғалақты көлік құралдарының қауіпсіздігі туралы» КО ТР 018/2011 техникалық регламентімен және Қазақстан Республикасының заңнамасымен реттеледі. Автокөлікті заңды түрде қайта жабдықтау үшін өзгерістерді келісу, жабдықты орнату, көлік құралы конструкциясының қауіпсіздігін тексеруден және техникалық қарап-тексеруден өту, тиісті куәлікті алу және автокөліктің тіркеу деректеріне өзгерістер енгізу қажет.</w:t>
        <w:br/>
      </w:r>
    </w:p>
    <w:p>
      <w:pPr>
        <w:pBdr>
          <w:bottom w:val="thick"/>
        </w:pBdr>
      </w:pPr>
    </w:p>
    <w:p>
      <w:r>
        <w:br/>
      </w:r>
    </w:p>
    <w:p>
      <w:pPr>
        <w:jc w:val="left"/>
      </w:pPr>
      <w:r>
        <w:rPr>
          <w:b w:val="on"/>
          <w:i w:val="off"/>
          <w:sz w:val="28"/>
        </w:rPr>
        <w:t>1. Көлік құралын қайта жабдықтауға рұқсат алу</w:t>
        <w:br/>
      </w:r>
    </w:p>
    <w:p>
      <w:pPr>
        <w:jc w:val="left"/>
      </w:pPr>
      <w:r>
        <w:rPr>
          <w:b w:val="on"/>
          <w:i w:val="on"/>
          <w:sz w:val="24"/>
        </w:rPr>
        <w:t>Нұсқаулық</w:t>
        <w:br/>
      </w:r>
    </w:p>
    <w:p>
      <w:pPr>
        <w:jc w:val="left"/>
      </w:pPr>
      <w:r>
        <w:rPr>
          <w:b w:val="off"/>
          <w:i w:val="off"/>
          <w:sz w:val="24"/>
        </w:rPr>
        <w:t>Газбаллон жабдығын (ГБЖ) орнатпас бұрын көлік құралының конструкциясына өзгерістер енгізу мүмкіндігін жол жүрісі қауіпсіздігін қамтамасыз ету саласындағы уәкілетті органмен келісу қажет. Іс-қимыл тәртібі: Көлік құралының иесі мен көлік құралы туралы мәліметтерді дайындаңыз. Жоспарланған қайта жабдықтауды келісу үшін әкімшілік полицияның аумақтық бөлімшесіне жүгініңіз. Автокөліктің маркасын, моделін, шығарылған жылын, мемлекеттік тіркеу нөмірін және жоспарланған өзгерістердің сипатын көрсетіңіз. Көлік құралының конструкциясына өзгерістер енгізу мүмкіндігі туралы шешімді алыңыз. Қайта жабдықтау түріне байланысты өзгерістерді қауіпсіз енгізу мүмкіндігін растайтын алдын ала техникалық сараптама қажет болуы мүмкін. Маңызды! Қайта жабдықтауды келісу және жұмыстар аяқталғаннан кейін куәлік алу — екі бөлек рәсім. Жабдықты орнатпас бұрын өзгерістерді алдын ала келісу үшін белгіленген талаптарды орындау қажет.</w:t>
        <w:br/>
      </w:r>
    </w:p>
    <w:p>
      <w:pPr>
        <w:jc w:val="left"/>
      </w:pPr>
      <w:r>
        <w:rPr>
          <w:b w:val="on"/>
          <w:i w:val="on"/>
          <w:sz w:val="24"/>
        </w:rPr>
        <w:t>Анықтамалық ақпарат</w:t>
        <w:br/>
      </w:r>
    </w:p>
    <w:p>
      <w:pPr>
        <w:jc w:val="left"/>
      </w:pPr>
      <w:r>
        <w:rPr>
          <w:sz w:val="24"/>
        </w:rPr>
        <w:t xml:space="preserve"> </w:t>
      </w:r>
      <w:hyperlink r:id="rId2">
        <w:r>
          <w:t>"Доңғалақты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2. Көлік құралы конструкциясына өзгерістер енгізу</w:t>
        <w:br/>
      </w:r>
    </w:p>
    <w:p>
      <w:pPr>
        <w:jc w:val="left"/>
      </w:pPr>
      <w:r>
        <w:rPr>
          <w:b w:val="on"/>
          <w:i w:val="on"/>
          <w:sz w:val="24"/>
        </w:rPr>
        <w:t>Нұсқаулық</w:t>
        <w:br/>
      </w:r>
    </w:p>
    <w:p>
      <w:pPr>
        <w:jc w:val="left"/>
      </w:pPr>
      <w:r>
        <w:rPr>
          <w:b w:val="off"/>
          <w:i w:val="off"/>
          <w:sz w:val="24"/>
        </w:rPr>
        <w:t>Автокөлікті қайта жабдықтау мүмкіндігі туралы оң шешім алғаннан кейін көлік құралының иесі газбаллон жабдығын (ГБЖ) орнатуға кірісе алады. Іс-қимыл тәртібі: ГБЖ орнатуға қажетті жабдықтары мен білікті мамандары бар ұйымға жүгініңіз. Орнатылатын жабдықтың КО ТР 018/2011 техникалық регламентінің талаптарына сәйкес келетініне көз жеткізіңіз. Жабдықты техникалық талаптар мен келісу шарттарына сәйкес орнатыңыз. Орындалған жұмыстарды растайтын құжаттарды алыңыз. Мұндай құжаттарға мыналар жатуы мүмкін: орындалған жұмыстардың көлемі мен сапасы туралы өтініш-декларация; жабдықты орнату актісі; орнатылған ГБЖ-ға қатысты құжаттар; пайдаланылған құрамдас бөліктердің белгіленген талаптарға сәйкестігін растайтын құжаттар. Маңызды! Жабдықты орнату көлік құралын одан әрі қауіпсіз пайдалануды қамтамасыз етуге тиіс.</w:t>
        <w:br/>
      </w:r>
    </w:p>
    <w:p>
      <w:pPr>
        <w:jc w:val="left"/>
      </w:pPr>
      <w:r>
        <w:rPr>
          <w:b w:val="on"/>
          <w:i w:val="on"/>
          <w:sz w:val="24"/>
        </w:rPr>
        <w:t>Анықтамалық ақпарат</w:t>
        <w:br/>
      </w:r>
    </w:p>
    <w:p>
      <w:pPr>
        <w:jc w:val="left"/>
      </w:pPr>
      <w:r>
        <w:rPr>
          <w:sz w:val="24"/>
        </w:rPr>
        <w:t xml:space="preserve"> </w:t>
      </w:r>
      <w:hyperlink r:id="rId3">
        <w:r>
          <w:t>№ 877 "доңғалақты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3. Техникалық регламент талаптарына сәйкестігіне бағалау жүргізу</w:t>
        <w:br/>
      </w:r>
    </w:p>
    <w:p>
      <w:pPr>
        <w:jc w:val="left"/>
      </w:pPr>
      <w:r>
        <w:rPr>
          <w:b w:val="on"/>
          <w:i w:val="on"/>
          <w:sz w:val="24"/>
        </w:rPr>
        <w:t>Нұсқаулық</w:t>
        <w:br/>
      </w:r>
    </w:p>
    <w:p>
      <w:pPr>
        <w:jc w:val="left"/>
      </w:pPr>
      <w:r>
        <w:rPr>
          <w:b w:val="off"/>
          <w:i w:val="off"/>
          <w:sz w:val="24"/>
        </w:rPr>
        <w:t>Газбаллон жабдығын орнатқаннан кейін енгізілген өзгерістері бар көлік құралының қауіпсіздігін растау қажет. 1-қадам. Аккредиттелген зертханада тексеруден өту Қайта жабдықталған автокөлікті КО ТР 018/2011 техникалық регламентінің талаптарына сәйкестігін тексеру үшін аккредиттелген сынақ зертханасына ұсыныңыз. Сынақ нәтижелері бойынша көлік құралының конструкциясына өзгерістер енгізілгеннен кейін оның қауіпсіздігін тексеру хаттамасы ресімделеді. 2-қадам. Техникалық қарап-тексеруден өту Көлік құралы конструкциясының қауіпсіздігі тексерілгеннен кейін қайта жабдықталған көлік құралын техникалық қарап-тексеруден өткізу қажет. Техникалық қарап-тексеру нәтижелері бойынша автокөліктің техникалық жай-күйін тексеру нәтижелерін растайтын диагностикалық карта ресімделеді. 3-қадам. Құжаттарды дайындау Зертханалық сынақтар хаттамасын, диагностикалық картаны және қайта жабдықтау жұмыстарының орындалғанын растайтын құжаттарды сақтаңыз. Бұл құжаттар көлік құралының қауіпсіздік талаптарына сәйкестігі туралы куәлікті одан әрі ресімдеу үшін қажет.</w:t>
        <w:br/>
      </w:r>
    </w:p>
    <w:p>
      <w:pPr>
        <w:jc w:val="left"/>
      </w:pPr>
      <w:r>
        <w:rPr>
          <w:b w:val="on"/>
          <w:i w:val="on"/>
          <w:sz w:val="24"/>
        </w:rPr>
        <w:t>Анықтамалық ақпарат</w:t>
        <w:br/>
      </w:r>
    </w:p>
    <w:p>
      <w:pPr>
        <w:jc w:val="left"/>
      </w:pPr>
      <w:r>
        <w:rPr>
          <w:sz w:val="24"/>
        </w:rPr>
        <w:t xml:space="preserve"> </w:t>
      </w:r>
      <w:hyperlink r:id="rId4">
        <w:r>
          <w:t>«Жол қозғалысы туралы» Қазақстан Республикасының 2014 жылғы 17 сәуірдегі No 194-V ЗРК Заңы</w:t>
          <w:br/>
        </w:r>
      </w:hyperlink>
    </w:p>
    <w:p>
      <w:pPr>
        <w:jc w:val="left"/>
      </w:pPr>
      <w:r>
        <w:rPr>
          <w:sz w:val="24"/>
        </w:rPr>
        <w:t xml:space="preserve"> </w:t>
      </w:r>
      <w:hyperlink r:id="rId5">
        <w:r>
          <w:t>№ 877 "доңғалақты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4. Көлік құралының сәйкестігі туралы куәлік алу</w:t>
        <w:br/>
      </w:r>
    </w:p>
    <w:p>
      <w:pPr>
        <w:jc w:val="left"/>
      </w:pPr>
      <w:r>
        <w:rPr>
          <w:b w:val="on"/>
          <w:i w:val="on"/>
          <w:sz w:val="24"/>
        </w:rPr>
        <w:t>Нұсқаулық</w:t>
        <w:br/>
      </w:r>
    </w:p>
    <w:p>
      <w:pPr>
        <w:jc w:val="left"/>
      </w:pPr>
      <w:r>
        <w:rPr>
          <w:b w:val="off"/>
          <w:i w:val="off"/>
          <w:sz w:val="24"/>
        </w:rPr>
        <w:t>Газбаллон жабдығын орнатқаннан, зертханалық сынақтар мен техникалық қарап-тексеруден өткеннен кейін конструкциясына енгізілген өзгерістері бар көлік құралының қауіпсіздік талаптарына сәйкестігі туралы куәлікті алу қажет. «Көлік құралын және (немесе) оның тіркемелерін қайта жабдықтауға куәлік беру» мемлекеттік қызметін аумақтық полиция органдары цифрлық үкімет порталы арқылы көрсетеді. Мемлекеттік қызметті онлайн қалай алуға болады? eGov.kz порталында авторизациядан өтіңіз. «Көлік құралын және (немесе) оның тіркемелерін қайта жабдықтауға куәлік беру» қызметін таңдаңыз. Электрондық өтінішті толтырыңыз. Қажетті құжаттарды тіркеңіз. Электрондық сұрау салуға электрондық цифрлық қолтаңбамен (ЭЦҚ) қол қойыңыз. Өтініштің мәртебесін жеке кабинетте қадағалаңыз. Қажетті құжаттар мен мәліметтер: жеке басты куәландыратын құжат — өтініш берушіні сәйкестендіру үшін; автокөліктің конструкциясына өзгерістер енгізуге жол жүрісі қауіпсіздігін қамтамасыз ету саласындағы уәкілетті органның келісімі; жүргізілген сынақтар туралы аккредиттелген сынақ зертханасының құжаттары; қайта жабдықталған көлік құралын техникалық қарап-тексеру нәтижелері бойынша ресімделген диагностикалық карта. Портал арқылы өтініш берген кезде қажетті құжаттар мен мәліметтер электрондық өтініш нысанына және мемлекеттік қызмет көрсетудің қолданыстағы қағидаларына сәйкес ұсынылады. Мемлекеттік қызметтің құны: тегін. Мемлекеттік қызмет көрсету мерзімі: құжаттардың толық топтамасы ұсынылғаннан кейін 2 жұмыс күні. Нәтижесі: көлік құралын және (немесе) оның тіркемелерін қайта жабдықтауға куәлік немесе мемлекеттік қызмет көрсетуден бас тарту туралы дәлелді жауап. Маңызды! Тек куәлік беру жөніндегі мемлекеттік қызмет тегін көрсетіледі. ГБЖ орнату, зертханалық сынақтар және техникалық қарап-тексеру тиісті жұмыстарды орындайтын ұйымдардың шарттарына сәйкес бөлек төленеді.</w:t>
        <w:br/>
      </w:r>
    </w:p>
    <w:p>
      <w:pPr>
        <w:jc w:val="left"/>
      </w:pPr>
      <w:r>
        <w:rPr>
          <w:b w:val="on"/>
          <w:i w:val="on"/>
          <w:sz w:val="24"/>
        </w:rPr>
        <w:t>Қызметтер</w:t>
        <w:br/>
      </w:r>
    </w:p>
    <w:p>
      <w:pPr>
        <w:jc w:val="left"/>
      </w:pPr>
      <w:r>
        <w:rPr>
          <w:b w:val="off"/>
          <w:i w:val="off"/>
          <w:sz w:val="24"/>
        </w:rPr>
        <w:t>Автокөлік құралын және (немесе) оның тіркемелерін қайта жабдықтауға куәліктер беру</w:t>
        <w:br/>
      </w:r>
    </w:p>
    <w:p>
      <w:pPr>
        <w:jc w:val="left"/>
      </w:pPr>
      <w:r>
        <w:rPr>
          <w:b w:val="on"/>
          <w:i w:val="on"/>
          <w:sz w:val="24"/>
        </w:rPr>
        <w:t>Анықтамалық ақпарат</w:t>
        <w:br/>
      </w:r>
    </w:p>
    <w:p>
      <w:pPr>
        <w:jc w:val="left"/>
      </w:pPr>
      <w:r>
        <w:rPr>
          <w:sz w:val="24"/>
        </w:rPr>
        <w:t xml:space="preserve"> </w:t>
      </w:r>
      <w:hyperlink r:id="rId6">
        <w:r>
          <w:t>"Автокөлік құралын және (немесе) оның тіркемелерін қайта жабдықтауға куәлік беру" мемлекеттік қызмет көрсету қағидаларын бекіту туралы № 281</w:t>
          <w:br/>
        </w:r>
      </w:hyperlink>
    </w:p>
    <w:p>
      <w:pPr>
        <w:pBdr>
          <w:bottom w:val="thick"/>
        </w:pBdr>
      </w:pPr>
    </w:p>
    <w:p>
      <w:r>
        <w:br/>
      </w:r>
    </w:p>
    <w:p>
      <w:pPr>
        <w:jc w:val="left"/>
      </w:pPr>
      <w:r>
        <w:rPr>
          <w:b w:val="on"/>
          <w:i w:val="off"/>
          <w:sz w:val="28"/>
        </w:rPr>
        <w:t>5. Көлік құралының тіркеу құжаттарына тиісті өзгерістер енгізу</w:t>
        <w:br/>
      </w:r>
    </w:p>
    <w:p>
      <w:pPr>
        <w:jc w:val="left"/>
      </w:pPr>
      <w:r>
        <w:rPr>
          <w:b w:val="on"/>
          <w:i w:val="on"/>
          <w:sz w:val="24"/>
        </w:rPr>
        <w:t>Нұсқаулық</w:t>
        <w:br/>
      </w:r>
    </w:p>
    <w:p>
      <w:pPr>
        <w:jc w:val="left"/>
      </w:pPr>
      <w:r>
        <w:rPr>
          <w:b w:val="off"/>
          <w:i w:val="off"/>
          <w:sz w:val="24"/>
        </w:rPr>
        <w:t>Көлік құралының конструкциясына енгізілген өзгерістердің қауіпсіздік талаптарына сәйкестігі туралы куәлікті алғаннан кейін автокөліктің тіркеу деректеріне қайта жабдықтау туралы мәліметтерді енгізу қажет. Іс-қимыл тәртібі: Көлік құралының тіркеу деректеріне өзгерістер енгізу үшін «Азаматтарға арналған үкімет» мемлекеттік корпорациясы» КЕАҚ-ның мамандандырылған бөліміне (мамандандырылған ХҚКО) жүгініңіз. Қайта жабдықталған көлік құралының қауіпсіздік талаптарына сәйкестігі туралы куәлікті ұсыныңыз. Көлік құралдарын мемлекеттік тіркеу қағидаларына сәйкес қажетті құжаттар мен мәліметтерді ұсыныңыз. Қажет болған жағдайда автокөлікті қарап-тексеру үшін ұсыныңыз. Заңнамада көзделген тіркеу төлемдерін төлеңіз. Енгізілген өзгерістер туралы өзекті мәліметтер көрсетілген көлік құралын тіркеу туралы куәлікті (КҚТК) алыңыз. Тіркеу деректеріне және КҚТК-ға өзгерістер енгізу Қазақстан Республикасы Ішкі істер министрінің 2014 жылғы 2 желтоқсандағы № 862 бұйрығымен бекітілген Көлік құралдарын мемлекеттік тіркеу және есепке алу қағидаларында белгіленген тәртіппен жүзеге асырылады. Маңызды! Қайта жабдықтау туралы куәлікті алу автокөліктің тіркеу деректеріне өзгерістер енгізу рәсімін алмастырмайды. Ресімдеуді толық аяқтау үшін екі кезеңнен де өту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H11T0000877" TargetMode="External" Type="http://schemas.openxmlformats.org/officeDocument/2006/relationships/hyperlink"/><Relationship Id="rId3" Target="https://www.adilet.zan.kz/rus/docs/H11T0000877" TargetMode="External" Type="http://schemas.openxmlformats.org/officeDocument/2006/relationships/hyperlink"/><Relationship Id="rId4" Target="https://adilet.zan.kz/kaz/docs/Z1400000194" TargetMode="External" Type="http://schemas.openxmlformats.org/officeDocument/2006/relationships/hyperlink"/><Relationship Id="rId5" Target="https://www.adilet.zan.kz/rus/docs/H11T0000877" TargetMode="External" Type="http://schemas.openxmlformats.org/officeDocument/2006/relationships/hyperlink"/><Relationship Id="rId6" Target="https://www.adilet.zan.kz/kaz/docs/V200002022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2026-10-29T14:58:00Z</dcterms:created>
  <dc:creator>Apache POI</dc:creator>
</cp:coreProperties>
</file>