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How to make alterations to flat</w:t>
        <w:br/>
        <w:br/>
      </w:r>
    </w:p>
    <w:p>
      <w:pPr>
        <w:jc w:val="left"/>
      </w:pPr>
      <w:r>
        <w:rPr>
          <w:b w:val="on"/>
          <w:i w:val="off"/>
          <w:sz w:val="28"/>
        </w:rPr>
        <w:t>Introduction</w:t>
        <w:br/>
      </w:r>
    </w:p>
    <w:p>
      <w:pPr>
        <w:jc w:val="left"/>
      </w:pPr>
      <w:r>
        <w:rPr>
          <w:b w:val="off"/>
          <w:i w:val="off"/>
          <w:sz w:val="24"/>
        </w:rPr>
        <w:t>To make an accommodation more comfortable people make alterations. But no alterations should be made individually. First, you can inflict harm to vital constructions and run into danger of walls or even the whole house collapse. Secondly, illegal and unregistered alterations can negatively affect the attempts to sell a flat, and also might cause difficulties upon execution of all notarial transactions. Important! The procedure for formalizing alterations to the layout of premises depends on the nature of the planned work. If the changes do not affect load-bearing or external enclosing structures, engineering systems or equipment, and do not change the functional purpose of the premises, a simplified procedure applies. If such structures or systems are affected, it is necessary to obtain the initial documentation and complete the design and approval procedures required by law.</w:t>
        <w:br/>
      </w:r>
    </w:p>
    <w:p>
      <w:pPr>
        <w:pBdr>
          <w:bottom w:val="thick"/>
        </w:pBdr>
      </w:pPr>
    </w:p>
    <w:p>
      <w:r>
        <w:br/>
      </w:r>
    </w:p>
    <w:p>
      <w:pPr>
        <w:jc w:val="left"/>
      </w:pPr>
      <w:r>
        <w:rPr>
          <w:b w:val="on"/>
          <w:i w:val="off"/>
          <w:sz w:val="28"/>
        </w:rPr>
        <w:t>1. What are the cases when an alteration is permitted or prohibited?</w:t>
        <w:br/>
      </w:r>
    </w:p>
    <w:p>
      <w:pPr>
        <w:jc w:val="left"/>
      </w:pPr>
      <w:r>
        <w:rPr>
          <w:b w:val="on"/>
          <w:i w:val="on"/>
          <w:sz w:val="24"/>
        </w:rPr>
        <w:t>Instruction</w:t>
        <w:br/>
      </w:r>
    </w:p>
    <w:p>
      <w:pPr>
        <w:jc w:val="left"/>
      </w:pPr>
      <w:r>
        <w:rPr>
          <w:b w:val="off"/>
          <w:i w:val="off"/>
          <w:sz w:val="24"/>
        </w:rPr>
        <w:t>The procedure for organizing construction and passing licensing procedures in the field of construction is determined by the Rules for Organizing Construction and Passing Licensing Procedures in the field of construction. According to paragraph 23 of the Rules, the implementation of projects for the reconstruction (redevelopment, re-equipment) of premises (individual parts) of existing buildings and structures related to the modification of load-bearing and enclosing (external) structures, engineering systems and equipment is carried out in the following stages: obtaining raw materials for reconstruction (redevelopment, re-equipment) of premises (individual parts) of existing buildings; design and expertise of projects for reconstruction (redevelopment, re-equipment); notification of the bodies carrying out state architectural and construction control and supervision on the commencement of construction and installation works and the implementation of construction and installation works; acceptance and commissioning of the constructed facility. Reconstruction (redevelopment, re-equipment) of premises (individual parts) of existing buildings and structures that are not related to changes in load-bearing and enclosing (external) structures, engineering systems and equipment (within the same functional purpose) is carried out on the basis of a technical design carried out by licensed persons. Obtaining an M&amp;E solution, design and project expertise is not required. Redevelopment is a change in the layout of a room (premises) associated with a change in the boundaries of this room (these premises). Alterations Without Changes to Load-Bearing Structures or Engineering Systems If the alterations do not affect load-bearing or external enclosing structures, engineering systems or equipment, and are carried out without changing the functional purpose of the premises, there is no requirement to obtain a decision from the local executive authority (akimat), develop a full architectural and construction design, or undergo a design examination. Such work is carried out on the basis of a technical design prepared by a person holding the appropriate licence. Alterations Involving Changes to Load-Bearing Structures or Engineering Systems If the alterations affect load-bearing or external enclosing structures, engineering systems, or equipment, additional procedures apply: Obtain the initial documentation required for the alterations. Prepare the design documentation. Arrange a design examination in cases required by law. Notify the state architectural and construction control authorities of the commencement of construction and installation work, if such notification is required. Carry out the construction work. Arrange acceptance and commissioning of the property in accordance with the established procedure. Before starting work, it is necessary to determine which structures and systems will be affected and select the appropriate approval and documentation procedure.</w:t>
        <w:br/>
      </w:r>
    </w:p>
    <w:p>
      <w:pPr>
        <w:jc w:val="left"/>
      </w:pPr>
      <w:r>
        <w:rPr>
          <w:b w:val="on"/>
          <w:i w:val="on"/>
          <w:sz w:val="24"/>
        </w:rPr>
        <w:t>Reference Information</w:t>
        <w:br/>
      </w:r>
    </w:p>
    <w:p>
      <w:pPr>
        <w:jc w:val="left"/>
      </w:pPr>
      <w:r>
        <w:rPr>
          <w:sz w:val="24"/>
        </w:rPr>
        <w:t xml:space="preserve"> </w:t>
      </w:r>
      <w:hyperlink r:id="rId2">
        <w:r>
          <w:t>On approval of the Rules for the organization of construction and passage of licensing procedures in the field of construction No. 265</w:t>
          <w:br/>
        </w:r>
      </w:hyperlink>
    </w:p>
    <w:p>
      <w:pPr>
        <w:jc w:val="left"/>
      </w:pPr>
      <w:r>
        <w:rPr>
          <w:sz w:val="24"/>
        </w:rPr>
        <w:t xml:space="preserve"> </w:t>
      </w:r>
      <w:hyperlink r:id="rId3">
        <w:r>
          <w:t>CONSTRUCTION CODE OF THE REPUBLIC OF KAZAKHSTAN</w:t>
          <w:br/>
        </w:r>
      </w:hyperlink>
    </w:p>
    <w:p>
      <w:pPr>
        <w:pBdr>
          <w:bottom w:val="thick"/>
        </w:pBdr>
      </w:pPr>
    </w:p>
    <w:p>
      <w:r>
        <w:br/>
      </w:r>
    </w:p>
    <w:p>
      <w:pPr>
        <w:jc w:val="left"/>
      </w:pPr>
      <w:r>
        <w:rPr>
          <w:b w:val="on"/>
          <w:i w:val="off"/>
          <w:sz w:val="28"/>
        </w:rPr>
        <w:t>2. Liability for an authorized alteration</w:t>
        <w:br/>
      </w:r>
    </w:p>
    <w:p>
      <w:pPr>
        <w:jc w:val="left"/>
      </w:pPr>
      <w:r>
        <w:rPr>
          <w:b w:val="on"/>
          <w:i w:val="on"/>
          <w:sz w:val="24"/>
        </w:rPr>
        <w:t>Instruction</w:t>
        <w:br/>
      </w:r>
    </w:p>
    <w:p>
      <w:pPr>
        <w:jc w:val="left"/>
      </w:pPr>
      <w:r>
        <w:rPr>
          <w:b w:val="off"/>
          <w:i w:val="off"/>
          <w:sz w:val="24"/>
        </w:rPr>
        <w:t>The Code of Administrative Offences provides for liability for unauthorized illegal redevelopment. Thus, according to article 322 of the Code, illegal re-equipment and redevelopment of residential and non-residential premises in existing buildings without an architectural and construction project and a corresponding decision of the structural divisions of local executive bodies performing functions in the field of architecture, urban planning and construction, with the exception of the requirements established by technical regulations, entail a fine of 30 MCI for individuals, for officials, small business entities, or non-profit organizations – in the amount of 90 MCI, for medium–sized businesses – in the amount of 150 MCI, for large businesses - in the amount of 300 MCI. The same actions that caused or could have caused a complete loss of strength and stability (destruction) of the building entail a fine of 80 MCI for individuals, 180 MCI for officials, small businesses or non–profit organizations, 250 MCI for medium–sized businesses, and large businesses. – in the amount of 500 MCI. Important! The need to obtain a decision from the local executive authority (akimat), prepare design documentation, and undergo a design examination depends on the nature of the alterations and the requirements of the law. The absence of an akimat decision does not, in itself, constitute a violation in cases where such a decision is not required.</w:t>
        <w:br/>
      </w:r>
    </w:p>
    <w:p>
      <w:pPr>
        <w:jc w:val="left"/>
      </w:pPr>
      <w:r>
        <w:rPr>
          <w:b w:val="on"/>
          <w:i w:val="on"/>
          <w:sz w:val="24"/>
        </w:rPr>
        <w:t>Reference Information</w:t>
        <w:br/>
      </w:r>
    </w:p>
    <w:p>
      <w:pPr>
        <w:jc w:val="left"/>
      </w:pPr>
      <w:r>
        <w:rPr>
          <w:sz w:val="24"/>
        </w:rPr>
        <w:t xml:space="preserve"> </w:t>
      </w:r>
      <w:hyperlink r:id="rId4">
        <w:r>
          <w:t>Code of the Republic of Kazakhstan “On administrative violations”</w:t>
          <w:br/>
        </w:r>
      </w:hyperlink>
    </w:p>
    <w:p>
      <w:pPr>
        <w:pBdr>
          <w:bottom w:val="thick"/>
        </w:pBdr>
      </w:pPr>
    </w:p>
    <w:p>
      <w:r>
        <w:br/>
      </w:r>
    </w:p>
    <w:p>
      <w:pPr>
        <w:jc w:val="left"/>
      </w:pPr>
      <w:r>
        <w:rPr>
          <w:b w:val="on"/>
          <w:i w:val="off"/>
          <w:sz w:val="28"/>
        </w:rPr>
        <w:t>3. Obtaining an opinion on the possibility of redevelopment and developing a technical project</w:t>
        <w:br/>
      </w:r>
    </w:p>
    <w:p>
      <w:pPr>
        <w:jc w:val="left"/>
      </w:pPr>
      <w:r>
        <w:rPr>
          <w:b w:val="on"/>
          <w:i w:val="on"/>
          <w:sz w:val="24"/>
        </w:rPr>
        <w:t>Instruction</w:t>
        <w:br/>
      </w:r>
    </w:p>
    <w:p>
      <w:pPr>
        <w:jc w:val="left"/>
      </w:pPr>
      <w:r>
        <w:rPr>
          <w:b w:val="off"/>
          <w:i w:val="off"/>
          <w:sz w:val="24"/>
        </w:rPr>
        <w:t>To obtain opinions on the possibility of redevelopment, as well as to develop a technical design and project documentation, it is necessary to contact specialized design organizations that can be easily found on the market. The required documentation depends on the nature of the planned alterations. If the alterations do not affect load-bearing or external enclosing structures, engineering systems or equipment, and are carried out without changing the functional purpose of the premises, a technical design must be prepared. If the planned work affects these structures or systems, it is necessary to obtain the initial documentation for reconstruction (alterations or conversion), then prepare the design documentation and undergo a design examination in cases required by law. Before starting work, it is recommended to consult a design organization holding the appropriate licence to determine the nature of the proposed changes and the required documentation. Project documentation development services for each company may be evaluated differently, but first of all, we recommend checking the availability and relevance of licenses for the relevant types of work from these companies. You can check the relevance of licenses through a special service of the electronic licensing portal — Search for permits. — Search for licensing documents</w:t>
        <w:br/>
      </w:r>
    </w:p>
    <w:p>
      <w:pPr>
        <w:pBdr>
          <w:bottom w:val="thick"/>
        </w:pBdr>
      </w:pPr>
    </w:p>
    <w:p>
      <w:r>
        <w:br/>
      </w:r>
    </w:p>
    <w:p>
      <w:pPr>
        <w:jc w:val="left"/>
      </w:pPr>
      <w:r>
        <w:rPr>
          <w:b w:val="on"/>
          <w:i w:val="off"/>
          <w:sz w:val="28"/>
        </w:rPr>
        <w:t>4. Obtainment of permit for alteration in akimat</w:t>
        <w:br/>
      </w:r>
    </w:p>
    <w:p>
      <w:pPr>
        <w:jc w:val="left"/>
      </w:pPr>
      <w:r>
        <w:rPr>
          <w:b w:val="on"/>
          <w:i w:val="on"/>
          <w:sz w:val="24"/>
        </w:rPr>
        <w:t>Instruction</w:t>
        <w:br/>
      </w:r>
    </w:p>
    <w:p>
      <w:pPr>
        <w:jc w:val="left"/>
      </w:pPr>
      <w:r>
        <w:rPr>
          <w:b w:val="off"/>
          <w:i w:val="off"/>
          <w:sz w:val="24"/>
        </w:rPr>
        <w:t>When Is It Necessary to Contact the Akimat? Initial documentation for reconstruction (alterations or conversion) is required if the planned work involves changes to load-bearing or external enclosing structures, engineering systems, or equipment. If the alterations do not affect these structures or systems and are carried out without changing the functional purpose of the premises, a decision from the local executive authority is not required. How to Obtain the Initial Documentation If initial documentation is required, an application must be submitted electronically through the relevant government service. The application must be accompanied by the documents specified in the applicable rules, including a technical design and, where applicable, the consent of property owners, technical documentation for the premises, a questionnaire for obtaining technical specifications, and other necessary documents. Government service processing time: 15 working days. Cost: free of charge. Result: initial documentation for reconstruction (alterations or conversion) or a reasoned refusal. To obtain initial documentation for alterations involving changes to load-bearing or external enclosing structures, engineering systems, or equipment, the applicant must apply through the relevant electronic government service. An application for a permit is submitted to the akimat through an online service through the e-government portal. The electronic application must be accompanied by: an electronic copy of the written consent of at least two thirds of the total number of owners of apartments, non-residential premises of an apartment building or a protocol of owners of apartments, non-residential premises of an apartment building in cases where changes affect the common property of the condominium facility (not required for persons with musculoskeletal disorders, wheelchair users, if the changes related to providing access to housing); an electronic copy of the technical passport of the premises being modified (if any); an electronic copy of the questionnaire (if necessary, additional connection to engineering and utility sources and/or increased loads); an electronic copy of the title document for the land plot (if the reconstruction provides for additional allotment (pruning) of the land plot) (in the absence of registration in the Unified State Cadastre of Real Estate information system); an electronic copy of the technical design; in cases where the designer indicates in the technical design that the planned reconstruction (redevelopment, re-equipment) of the premises (parts of the apartment building) or the relocation of the boundaries of the premises affect the interests of the owners of adjacent premises (parts of the house), an electronic copy of the notarized written consent of the owners of the premises is additionally attached. The permit is issued free of charge within 15 working days. As a result, you will receive raw materials for the reconstruction (redevelopment, re-equipment) of premises (individual parts) of existing buildings and structures related to changes in load-bearing and enclosing (external) structures, engineering systems and equipment.: decision on reconstruction (redevelopment, re-equipment) of premises (individual parts) of existing buildings and structures related to changes in load-bearing and enclosing (external) structures, engineering systems and equipment; APZ; technical specifications (when the applicant submits a questionnaire for technical specifications for connection to engineering and utility sources (hereinafter referred to as the questionnaire)); diagrams of the routes of external engineering networks (when the applicant submits a questionnaire). After receiving these documents, you can start developing the project, get an expert opinion, notify the authorities responsible for state architectural and construction control and supervision of the start of construction and installation work, construction work. We remind you that if the reconstruction (redevelopment, re-equipment) of premises (individual parts) of existing buildings and structures is not related to changes in load-bearing structures, engineering systems and equipment, then you do not need permission from the akimat.</w:t>
        <w:br/>
      </w:r>
    </w:p>
    <w:p>
      <w:pPr>
        <w:jc w:val="left"/>
      </w:pPr>
      <w:r>
        <w:rPr>
          <w:b w:val="on"/>
          <w:i w:val="on"/>
          <w:sz w:val="24"/>
        </w:rPr>
        <w:t>Services</w:t>
        <w:br/>
      </w:r>
    </w:p>
    <w:p>
      <w:pPr>
        <w:jc w:val="left"/>
      </w:pPr>
      <w:r>
        <w:rPr>
          <w:b w:val="off"/>
          <w:i w:val="off"/>
          <w:sz w:val="24"/>
        </w:rPr>
        <w:t>Provision of initial materials in the development of construction and reconstruction projects (alteration and re-equipment)</w:t>
        <w:br/>
      </w:r>
    </w:p>
    <w:p>
      <w:pPr>
        <w:pBdr>
          <w:bottom w:val="thick"/>
        </w:pBdr>
      </w:pPr>
    </w:p>
    <w:p>
      <w:r>
        <w:br/>
      </w:r>
    </w:p>
    <w:p>
      <w:pPr>
        <w:jc w:val="left"/>
      </w:pPr>
      <w:r>
        <w:rPr>
          <w:b w:val="on"/>
          <w:i w:val="off"/>
          <w:sz w:val="28"/>
        </w:rPr>
        <w:t>5. Operational commissioning and obtainment of a new technical passport</w:t>
        <w:br/>
      </w:r>
    </w:p>
    <w:p>
      <w:pPr>
        <w:jc w:val="left"/>
      </w:pPr>
      <w:r>
        <w:rPr>
          <w:b w:val="on"/>
          <w:i w:val="on"/>
          <w:sz w:val="24"/>
        </w:rPr>
        <w:t>Instruction</w:t>
        <w:br/>
      </w:r>
    </w:p>
    <w:p>
      <w:pPr>
        <w:jc w:val="left"/>
      </w:pPr>
      <w:r>
        <w:rPr>
          <w:b w:val="off"/>
          <w:i w:val="off"/>
          <w:sz w:val="24"/>
        </w:rPr>
        <w:t>If the alterations involved changes to load-bearing or external enclosing structures, engineering systems, or equipment, acceptance and commissioning of the property must be carried out in accordance with the procedure established by law. If the alterations did not affect these structures or systems, the need to complete documentation after the work depends on the nature of the changes and the applicable requirements for recording the technical characteristics of real estate. If the technical characteristics of the apartment have changed, the relevant information must be updated in accordance with the established procedure. After completion of the construction work by the contractor, you need to accept them with the completion of the acceptance certificate in accordance with On approval of the Acceptance Rules, as well as the form of the certificate of acceptance of the construction object into operation by the customer (owner, investor) independently No. 123. The act is signed by the owner, i.e. you, the contractor and the project organization. After that, it is necessary to approve the act in the Department of Architecture and Urban Planning of your akimat. Applications for the state service and the issuance of its results are processed through the e-Government web portal: gov.kz. To obtain a cadastral passport for a real estate property, the following documents must be submitted: a request in the form of an electronic document certified by an Electronic Digital Signature (EDS) or a one-time password, provided that the applicant’s mobile phone number registered with a mobile operator is linked to the portal account; an electronic copy of the title document for the real estate property; where applicable, an electronic copy of the identification document for the land plot; an electronic copy of the document confirming payment for the issuance of the cadastral passport, except when payment is made through the e-Government Payment Gateway. Payment is made in two stages: Upon submission of the application, payment is made in the amount of the basic cost of the state technical inspection service for the real estate property according to the approved prices for goods (works and services). Upon receipt of the service result, full payment (or an additional payment) is made for the completed state technical inspection work according to the approved prices for goods (works and services). Timeframes for the provision of the state service: cadastral passports for apartments and dormitory rooms are issued on the third working day; cadastral passports for individual residential houses, private garages, and country houses are issued on the fifth working day; cadastral passports for other real estate properties with a total area of up to 1,000 square meters are issued on the seventh working day; cadastral passports for properties with a total area exceeding 1,000 square meters are issued on the tenth working day from the date of application; cadastral passports for first-category complexity real estate properties, except those specified in the second and third paragraphs above, are issued on the fifth working day. The result of the state service is either the cadastral passport of the real estate property or a notice of refusal to provide the service. The final stage of the entire procedure is the registration of the commissioning act. After obtaining the new cadastral passport, it is necessary to apply for registration of the commissioning act. The act is registered in accordance with the Rules for the Provision of the State Service “State Registration of Rights (Encumbrances) to Immovable Property.”</w:t>
        <w:br/>
      </w:r>
    </w:p>
    <w:p>
      <w:pPr>
        <w:jc w:val="left"/>
      </w:pPr>
      <w:r>
        <w:rPr>
          <w:b w:val="on"/>
          <w:i w:val="on"/>
          <w:sz w:val="24"/>
        </w:rPr>
        <w:t>Services</w:t>
        <w:br/>
      </w:r>
    </w:p>
    <w:p>
      <w:pPr>
        <w:jc w:val="left"/>
      </w:pPr>
      <w:r>
        <w:rPr>
          <w:b w:val="off"/>
          <w:i w:val="off"/>
          <w:sz w:val="24"/>
        </w:rPr>
        <w:t>Issuance of a technical passport of a real estate property</w:t>
        <w:br/>
      </w:r>
    </w:p>
    <w:p>
      <w:pPr>
        <w:jc w:val="left"/>
      </w:pPr>
      <w:r>
        <w:rPr>
          <w:b w:val="on"/>
          <w:i w:val="on"/>
          <w:sz w:val="24"/>
        </w:rPr>
        <w:t>Reference Information</w:t>
        <w:br/>
      </w:r>
    </w:p>
    <w:p>
      <w:pPr>
        <w:jc w:val="left"/>
      </w:pPr>
      <w:r>
        <w:rPr>
          <w:sz w:val="24"/>
        </w:rPr>
        <w:t xml:space="preserve"> </w:t>
      </w:r>
      <w:hyperlink r:id="rId5">
        <w:r>
          <w:t>On approval of the Acceptance Rules, as well as the form of the certificate of acceptance of the construction object into operation by the customer (owner, investor) independently No. 123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rus/docs/V2600038830" TargetMode="External" Type="http://schemas.openxmlformats.org/officeDocument/2006/relationships/hyperlink"/><Relationship Id="rId3" Target="https://adilet.zan.kz/eng/docs/K2600000253" TargetMode="External" Type="http://schemas.openxmlformats.org/officeDocument/2006/relationships/hyperlink"/><Relationship Id="rId4" Target="https://adilet.zan.kz/eng/docs/K1400000235" TargetMode="External" Type="http://schemas.openxmlformats.org/officeDocument/2006/relationships/hyperlink"/><Relationship Id="rId5" Target="https://adilet.zan.kz/rus/docs/V260003818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2026-10-30T14:17:39Z</dcterms:created>
  <dc:creator>Apache POI</dc:creator>
</cp:coreProperties>
</file>